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宋体" w:hAnsi="宋体"/>
          <w:b/>
          <w:sz w:val="36"/>
          <w:u w:val="single"/>
        </w:rPr>
      </w:pPr>
    </w:p>
    <w:p>
      <w:pPr>
        <w:snapToGrid w:val="0"/>
        <w:spacing w:line="360" w:lineRule="auto"/>
        <w:jc w:val="left"/>
        <w:rPr>
          <w:rFonts w:hint="eastAsia" w:ascii="宋体" w:hAnsi="宋体"/>
          <w:b/>
          <w:sz w:val="36"/>
          <w:u w:val="single"/>
        </w:rPr>
      </w:pPr>
    </w:p>
    <w:p>
      <w:pPr>
        <w:snapToGrid w:val="0"/>
        <w:spacing w:line="360" w:lineRule="auto"/>
        <w:jc w:val="left"/>
        <w:rPr>
          <w:rFonts w:hint="eastAsia" w:ascii="宋体" w:hAnsi="宋体"/>
          <w:b/>
          <w:sz w:val="36"/>
          <w:u w:val="single"/>
        </w:rPr>
      </w:pPr>
    </w:p>
    <w:p>
      <w:pPr>
        <w:snapToGrid w:val="0"/>
        <w:spacing w:line="360" w:lineRule="auto"/>
        <w:jc w:val="left"/>
        <w:rPr>
          <w:rFonts w:hint="eastAsia" w:ascii="宋体" w:hAnsi="宋体"/>
          <w:b/>
          <w:sz w:val="36"/>
          <w:u w:val="single"/>
        </w:rPr>
      </w:pPr>
    </w:p>
    <w:p>
      <w:pPr>
        <w:snapToGrid w:val="0"/>
        <w:spacing w:line="360" w:lineRule="auto"/>
        <w:jc w:val="center"/>
        <w:outlineLvl w:val="0"/>
        <w:rPr>
          <w:rFonts w:hint="default" w:ascii="Arial Unicode MS" w:hAnsi="Arial Unicode MS" w:eastAsia="Arial Unicode MS" w:cs="Arial Unicode MS"/>
          <w:sz w:val="44"/>
          <w:szCs w:val="44"/>
          <w:lang w:val="en-US"/>
        </w:rPr>
      </w:pPr>
      <w:bookmarkStart w:id="0" w:name="_Toc5430"/>
      <w:bookmarkStart w:id="1" w:name="_Toc5000"/>
      <w:r>
        <w:rPr>
          <w:rFonts w:hint="eastAsia" w:ascii="Arial Unicode MS" w:hAnsi="Arial Unicode MS" w:eastAsia="Arial Unicode MS" w:cs="Arial Unicode MS"/>
          <w:sz w:val="44"/>
          <w:szCs w:val="44"/>
        </w:rPr>
        <w:t>国家体育总局体育</w:t>
      </w:r>
      <w:bookmarkEnd w:id="0"/>
      <w:bookmarkEnd w:id="1"/>
      <w:r>
        <w:rPr>
          <w:rFonts w:hint="eastAsia" w:ascii="Arial Unicode MS" w:hAnsi="Arial Unicode MS" w:eastAsia="Arial Unicode MS" w:cs="Arial Unicode MS"/>
          <w:sz w:val="44"/>
          <w:szCs w:val="44"/>
          <w:lang w:val="en-US" w:eastAsia="zh-CN"/>
        </w:rPr>
        <w:t>科学研究所</w:t>
      </w:r>
    </w:p>
    <w:p>
      <w:pPr>
        <w:snapToGrid w:val="0"/>
        <w:spacing w:line="360" w:lineRule="auto"/>
        <w:jc w:val="center"/>
        <w:rPr>
          <w:rFonts w:hint="eastAsia" w:ascii="Arial Unicode MS" w:hAnsi="Arial Unicode MS" w:eastAsia="Arial Unicode MS" w:cs="Arial Unicode MS"/>
          <w:spacing w:val="-20"/>
          <w:sz w:val="44"/>
          <w:szCs w:val="44"/>
          <w:lang w:eastAsia="zh-CN"/>
        </w:rPr>
      </w:pPr>
      <w:r>
        <w:rPr>
          <w:rFonts w:hint="eastAsia" w:ascii="Arial Unicode MS" w:hAnsi="Arial Unicode MS" w:eastAsia="Arial Unicode MS" w:cs="Arial Unicode MS"/>
          <w:spacing w:val="-20"/>
          <w:sz w:val="44"/>
          <w:szCs w:val="44"/>
        </w:rPr>
        <w:t>202</w:t>
      </w:r>
      <w:r>
        <w:rPr>
          <w:rFonts w:hint="default" w:ascii="Arial Unicode MS" w:hAnsi="Arial Unicode MS" w:eastAsia="Arial Unicode MS" w:cs="Arial Unicode MS"/>
          <w:spacing w:val="-20"/>
          <w:sz w:val="44"/>
          <w:szCs w:val="44"/>
          <w:lang w:val="en-US" w:eastAsia="zh-CN"/>
        </w:rPr>
        <w:t>6</w:t>
      </w:r>
      <w:r>
        <w:rPr>
          <w:rFonts w:hint="eastAsia" w:ascii="Arial Unicode MS" w:hAnsi="Arial Unicode MS" w:eastAsia="Arial Unicode MS" w:cs="Arial Unicode MS"/>
          <w:spacing w:val="-20"/>
          <w:sz w:val="44"/>
          <w:szCs w:val="44"/>
        </w:rPr>
        <w:t>至202</w:t>
      </w:r>
      <w:r>
        <w:rPr>
          <w:rFonts w:hint="default" w:ascii="Arial Unicode MS" w:hAnsi="Arial Unicode MS" w:eastAsia="Arial Unicode MS" w:cs="Arial Unicode MS"/>
          <w:spacing w:val="-20"/>
          <w:sz w:val="44"/>
          <w:szCs w:val="44"/>
          <w:lang w:val="en-US" w:eastAsia="zh-CN"/>
        </w:rPr>
        <w:t>9</w:t>
      </w:r>
      <w:r>
        <w:rPr>
          <w:rFonts w:hint="eastAsia" w:ascii="Arial Unicode MS" w:hAnsi="Arial Unicode MS" w:eastAsia="Arial Unicode MS" w:cs="Arial Unicode MS"/>
          <w:spacing w:val="-20"/>
          <w:sz w:val="44"/>
          <w:szCs w:val="44"/>
        </w:rPr>
        <w:t>年度采购代理服务</w:t>
      </w:r>
      <w:r>
        <w:rPr>
          <w:rFonts w:hint="eastAsia" w:ascii="Arial Unicode MS" w:hAnsi="Arial Unicode MS" w:eastAsia="Arial Unicode MS" w:cs="Arial Unicode MS"/>
          <w:spacing w:val="-20"/>
          <w:sz w:val="44"/>
          <w:szCs w:val="44"/>
          <w:lang w:val="en-US" w:eastAsia="zh-CN"/>
        </w:rPr>
        <w:t>机构</w:t>
      </w:r>
    </w:p>
    <w:p>
      <w:pPr>
        <w:snapToGrid w:val="0"/>
        <w:spacing w:line="360" w:lineRule="auto"/>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pacing w:val="-20"/>
          <w:sz w:val="44"/>
          <w:szCs w:val="44"/>
        </w:rPr>
        <w:t>比选文件</w:t>
      </w:r>
    </w:p>
    <w:p>
      <w:pPr>
        <w:snapToGrid w:val="0"/>
        <w:spacing w:line="360" w:lineRule="auto"/>
        <w:jc w:val="left"/>
        <w:rPr>
          <w:rFonts w:hint="eastAsia" w:ascii="宋体" w:hAnsi="宋体"/>
          <w:sz w:val="36"/>
        </w:rPr>
      </w:pPr>
    </w:p>
    <w:p>
      <w:pPr>
        <w:snapToGrid w:val="0"/>
        <w:spacing w:line="360" w:lineRule="auto"/>
        <w:jc w:val="left"/>
        <w:rPr>
          <w:rFonts w:hint="eastAsia" w:ascii="宋体" w:hAnsi="宋体"/>
          <w:sz w:val="36"/>
        </w:rPr>
      </w:pPr>
    </w:p>
    <w:p>
      <w:pPr>
        <w:snapToGrid w:val="0"/>
        <w:spacing w:line="360" w:lineRule="auto"/>
        <w:jc w:val="left"/>
        <w:rPr>
          <w:rFonts w:hint="eastAsia" w:ascii="宋体" w:hAnsi="宋体"/>
          <w:sz w:val="36"/>
        </w:rPr>
      </w:pPr>
    </w:p>
    <w:p>
      <w:pPr>
        <w:snapToGrid w:val="0"/>
        <w:spacing w:line="360" w:lineRule="auto"/>
        <w:jc w:val="left"/>
        <w:rPr>
          <w:rFonts w:hint="eastAsia" w:ascii="宋体" w:hAnsi="宋体"/>
          <w:sz w:val="36"/>
        </w:rPr>
      </w:pPr>
    </w:p>
    <w:p>
      <w:pPr>
        <w:snapToGrid w:val="0"/>
        <w:spacing w:line="360" w:lineRule="auto"/>
        <w:jc w:val="left"/>
        <w:rPr>
          <w:rFonts w:hint="eastAsia" w:ascii="宋体" w:hAnsi="宋体"/>
          <w:sz w:val="36"/>
        </w:rPr>
      </w:pPr>
    </w:p>
    <w:p>
      <w:pPr>
        <w:snapToGrid w:val="0"/>
        <w:spacing w:line="360" w:lineRule="auto"/>
        <w:jc w:val="left"/>
        <w:rPr>
          <w:rFonts w:hint="eastAsia" w:ascii="宋体" w:hAnsi="宋体"/>
          <w:sz w:val="36"/>
        </w:rPr>
      </w:pPr>
    </w:p>
    <w:p>
      <w:pPr>
        <w:snapToGrid w:val="0"/>
        <w:spacing w:line="360" w:lineRule="auto"/>
        <w:jc w:val="left"/>
        <w:rPr>
          <w:rFonts w:hint="eastAsia" w:ascii="宋体" w:hAnsi="宋体"/>
          <w:sz w:val="36"/>
          <w:szCs w:val="36"/>
        </w:rPr>
      </w:pPr>
    </w:p>
    <w:p>
      <w:pPr>
        <w:snapToGrid w:val="0"/>
        <w:spacing w:line="360" w:lineRule="auto"/>
        <w:jc w:val="left"/>
        <w:rPr>
          <w:rFonts w:hint="eastAsia" w:ascii="宋体" w:hAnsi="宋体"/>
          <w:sz w:val="36"/>
          <w:szCs w:val="36"/>
        </w:rPr>
      </w:pPr>
    </w:p>
    <w:p>
      <w:pPr>
        <w:snapToGrid w:val="0"/>
        <w:spacing w:line="360" w:lineRule="auto"/>
        <w:ind w:firstLine="3520" w:firstLineChars="1100"/>
        <w:jc w:val="left"/>
        <w:rPr>
          <w:rFonts w:hint="eastAsia" w:ascii="宋体" w:hAnsi="宋体"/>
          <w:sz w:val="32"/>
          <w:szCs w:val="32"/>
        </w:rPr>
      </w:pPr>
      <w:r>
        <w:rPr>
          <w:rFonts w:hint="eastAsia" w:ascii="宋体" w:hAnsi="宋体"/>
          <w:sz w:val="32"/>
          <w:szCs w:val="32"/>
          <w:u w:val="single"/>
        </w:rPr>
        <w:t xml:space="preserve"> 202</w:t>
      </w:r>
      <w:r>
        <w:rPr>
          <w:rFonts w:hint="default" w:ascii="宋体" w:hAnsi="宋体"/>
          <w:sz w:val="32"/>
          <w:szCs w:val="32"/>
          <w:u w:val="single"/>
          <w:lang w:val="en-US" w:eastAsia="zh-CN"/>
        </w:rPr>
        <w:t>6</w:t>
      </w:r>
      <w:r>
        <w:rPr>
          <w:rFonts w:hint="eastAsia" w:ascii="宋体" w:hAnsi="宋体"/>
          <w:sz w:val="32"/>
          <w:szCs w:val="32"/>
        </w:rPr>
        <w:t>年</w:t>
      </w:r>
      <w:r>
        <w:rPr>
          <w:rFonts w:hint="default" w:ascii="宋体" w:hAnsi="宋体"/>
          <w:sz w:val="32"/>
          <w:szCs w:val="32"/>
          <w:u w:val="single"/>
          <w:lang w:val="en-US" w:eastAsia="zh-CN"/>
        </w:rPr>
        <w:t>4</w:t>
      </w:r>
      <w:r>
        <w:rPr>
          <w:rFonts w:hint="eastAsia" w:ascii="宋体" w:hAnsi="宋体"/>
          <w:sz w:val="32"/>
          <w:szCs w:val="32"/>
        </w:rPr>
        <w:t>月</w:t>
      </w:r>
    </w:p>
    <w:p>
      <w:pPr>
        <w:jc w:val="center"/>
        <w:rPr>
          <w:rFonts w:hint="eastAsia"/>
        </w:rPr>
      </w:pPr>
    </w:p>
    <w:p>
      <w:pPr>
        <w:pStyle w:val="2"/>
        <w:spacing w:before="0" w:after="312" w:afterLines="100" w:line="360" w:lineRule="auto"/>
        <w:jc w:val="center"/>
        <w:rPr>
          <w:rFonts w:hint="eastAsia"/>
          <w:b w:val="0"/>
          <w:sz w:val="28"/>
          <w:szCs w:val="28"/>
        </w:rPr>
      </w:pPr>
      <w:r>
        <w:rPr>
          <w:rFonts w:hint="eastAsia"/>
        </w:rPr>
        <w:br w:type="page"/>
      </w:r>
      <w:bookmarkStart w:id="2" w:name="_Toc28863"/>
      <w:bookmarkStart w:id="3" w:name="_Toc19518"/>
      <w:r>
        <w:rPr>
          <w:rFonts w:hint="eastAsia"/>
          <w:b w:val="0"/>
          <w:sz w:val="28"/>
          <w:szCs w:val="28"/>
        </w:rPr>
        <w:t xml:space="preserve">第一章 </w:t>
      </w:r>
      <w:r>
        <w:rPr>
          <w:b w:val="0"/>
          <w:sz w:val="28"/>
          <w:szCs w:val="28"/>
        </w:rPr>
        <w:t xml:space="preserve"> </w:t>
      </w:r>
      <w:r>
        <w:rPr>
          <w:rFonts w:hint="eastAsia"/>
          <w:b w:val="0"/>
          <w:sz w:val="28"/>
          <w:szCs w:val="28"/>
          <w:lang w:val="en-US" w:eastAsia="zh-CN"/>
        </w:rPr>
        <w:t>采购代理服务机构</w:t>
      </w:r>
      <w:r>
        <w:rPr>
          <w:rFonts w:hint="eastAsia"/>
          <w:b w:val="0"/>
          <w:sz w:val="28"/>
          <w:szCs w:val="28"/>
        </w:rPr>
        <w:t>比选</w:t>
      </w:r>
      <w:r>
        <w:rPr>
          <w:rFonts w:hint="eastAsia"/>
          <w:b w:val="0"/>
          <w:sz w:val="28"/>
          <w:szCs w:val="28"/>
          <w:lang w:val="en-US" w:eastAsia="zh-CN"/>
        </w:rPr>
        <w:t>通知</w:t>
      </w:r>
      <w:r>
        <w:rPr>
          <w:rFonts w:hint="eastAsia"/>
          <w:b w:val="0"/>
          <w:sz w:val="28"/>
          <w:szCs w:val="28"/>
        </w:rPr>
        <w:t>书</w:t>
      </w:r>
      <w:bookmarkEnd w:id="2"/>
      <w:bookmarkEnd w:id="3"/>
    </w:p>
    <w:p>
      <w:pPr>
        <w:pStyle w:val="6"/>
        <w:adjustRightInd w:val="0"/>
        <w:snapToGrid w:val="0"/>
        <w:spacing w:line="360" w:lineRule="auto"/>
        <w:ind w:left="0" w:leftChars="0" w:right="0" w:firstLine="480"/>
        <w:jc w:val="left"/>
        <w:rPr>
          <w:rFonts w:hint="eastAsia" w:ascii="宋体" w:hAnsi="宋体"/>
          <w:szCs w:val="24"/>
        </w:rPr>
      </w:pPr>
      <w:r>
        <w:rPr>
          <w:rFonts w:hint="eastAsia" w:ascii="宋体" w:hAnsi="宋体"/>
          <w:szCs w:val="24"/>
          <w:highlight w:val="none"/>
        </w:rPr>
        <w:t>国家体育总局体育</w:t>
      </w:r>
      <w:r>
        <w:rPr>
          <w:rFonts w:hint="eastAsia" w:ascii="宋体" w:hAnsi="宋体"/>
          <w:szCs w:val="24"/>
          <w:highlight w:val="none"/>
          <w:lang w:val="en-US" w:eastAsia="zh-CN"/>
        </w:rPr>
        <w:t>科学研究所</w:t>
      </w:r>
      <w:r>
        <w:rPr>
          <w:rFonts w:hint="eastAsia" w:ascii="宋体" w:hAnsi="宋体"/>
          <w:szCs w:val="24"/>
          <w:highlight w:val="none"/>
        </w:rPr>
        <w:t>（以下简称：采购人）现采取比选方式，邀请合格政府采购代理机构参加采购人采购代理服务项目。通过本比选评审结果确定排名</w:t>
      </w:r>
      <w:r>
        <w:rPr>
          <w:rFonts w:hint="eastAsia" w:ascii="宋体" w:hAnsi="宋体"/>
          <w:szCs w:val="24"/>
          <w:highlight w:val="none"/>
          <w:lang w:val="en-US" w:eastAsia="zh-CN"/>
        </w:rPr>
        <w:t>第一</w:t>
      </w:r>
      <w:r>
        <w:rPr>
          <w:rFonts w:hint="eastAsia" w:ascii="宋体" w:hAnsi="宋体"/>
          <w:szCs w:val="24"/>
          <w:highlight w:val="none"/>
        </w:rPr>
        <w:t>的代理机构，获得202</w:t>
      </w:r>
      <w:r>
        <w:rPr>
          <w:rFonts w:hint="default" w:ascii="宋体" w:hAnsi="宋体"/>
          <w:szCs w:val="24"/>
          <w:highlight w:val="none"/>
          <w:lang w:val="en-US" w:eastAsia="zh-CN"/>
        </w:rPr>
        <w:t>6</w:t>
      </w:r>
      <w:r>
        <w:rPr>
          <w:rFonts w:hint="eastAsia" w:ascii="宋体" w:hAnsi="宋体"/>
          <w:szCs w:val="24"/>
          <w:highlight w:val="none"/>
        </w:rPr>
        <w:t>至202</w:t>
      </w:r>
      <w:r>
        <w:rPr>
          <w:rFonts w:hint="default" w:ascii="宋体" w:hAnsi="宋体"/>
          <w:szCs w:val="24"/>
          <w:highlight w:val="none"/>
          <w:lang w:val="en-US" w:eastAsia="zh-CN"/>
        </w:rPr>
        <w:t>9</w:t>
      </w:r>
      <w:r>
        <w:rPr>
          <w:rFonts w:hint="eastAsia" w:ascii="宋体" w:hAnsi="宋体"/>
          <w:szCs w:val="24"/>
          <w:highlight w:val="none"/>
        </w:rPr>
        <w:t>年度采购人采购代理服务资格</w:t>
      </w:r>
      <w:r>
        <w:rPr>
          <w:rFonts w:hint="eastAsia" w:ascii="宋体" w:hAnsi="宋体"/>
          <w:szCs w:val="24"/>
        </w:rPr>
        <w:t>。本项目落实《政府采购法》《政府采购法实施条例》等政府采购领域相关政策。</w:t>
      </w:r>
    </w:p>
    <w:p>
      <w:pPr>
        <w:pStyle w:val="3"/>
        <w:numPr>
          <w:ilvl w:val="0"/>
          <w:numId w:val="1"/>
        </w:numPr>
        <w:spacing w:before="0" w:after="156" w:afterLines="50" w:line="360" w:lineRule="auto"/>
        <w:ind w:firstLine="482" w:firstLineChars="200"/>
        <w:jc w:val="left"/>
        <w:rPr>
          <w:rFonts w:hint="eastAsia"/>
        </w:rPr>
      </w:pPr>
      <w:r>
        <w:rPr>
          <w:rFonts w:hint="eastAsia"/>
          <w:sz w:val="24"/>
          <w:szCs w:val="24"/>
        </w:rPr>
        <w:t>采购代理内容</w:t>
      </w:r>
    </w:p>
    <w:p>
      <w:pPr>
        <w:pStyle w:val="3"/>
        <w:numPr>
          <w:ilvl w:val="0"/>
          <w:numId w:val="0"/>
        </w:numPr>
        <w:spacing w:before="0" w:after="156" w:afterLines="50" w:line="360" w:lineRule="auto"/>
        <w:ind w:firstLine="480" w:firstLineChars="200"/>
        <w:jc w:val="left"/>
        <w:rPr>
          <w:rFonts w:hint="eastAsia" w:ascii="宋体" w:hAnsi="宋体" w:eastAsia="宋体" w:cs="Times New Roman"/>
          <w:b w:val="0"/>
          <w:color w:val="000000"/>
          <w:kern w:val="2"/>
          <w:sz w:val="24"/>
          <w:szCs w:val="24"/>
          <w:lang w:val="en-US" w:eastAsia="zh-CN" w:bidi="ar-SA"/>
        </w:rPr>
      </w:pPr>
      <w:r>
        <w:rPr>
          <w:rFonts w:hint="eastAsia" w:ascii="宋体" w:hAnsi="宋体" w:eastAsia="宋体" w:cs="Times New Roman"/>
          <w:b w:val="0"/>
          <w:color w:val="000000"/>
          <w:kern w:val="2"/>
          <w:sz w:val="24"/>
          <w:szCs w:val="24"/>
          <w:lang w:val="en-US" w:eastAsia="zh-CN" w:bidi="ar-SA"/>
        </w:rPr>
        <w:t>1</w:t>
      </w:r>
      <w:r>
        <w:rPr>
          <w:rFonts w:hint="default" w:ascii="宋体" w:hAnsi="宋体" w:cs="Times New Roman"/>
          <w:b w:val="0"/>
          <w:color w:val="000000"/>
          <w:kern w:val="2"/>
          <w:sz w:val="24"/>
          <w:szCs w:val="24"/>
          <w:lang w:val="en-US" w:eastAsia="zh-CN" w:bidi="ar-SA"/>
        </w:rPr>
        <w:t>.</w:t>
      </w:r>
      <w:r>
        <w:rPr>
          <w:rFonts w:hint="eastAsia" w:ascii="宋体" w:hAnsi="宋体" w:eastAsia="宋体" w:cs="Times New Roman"/>
          <w:b w:val="0"/>
          <w:color w:val="000000"/>
          <w:kern w:val="2"/>
          <w:sz w:val="24"/>
          <w:szCs w:val="24"/>
          <w:lang w:val="en-US" w:eastAsia="zh-CN" w:bidi="ar-SA"/>
        </w:rPr>
        <w:t>按照各类别采购项目和采购方式的管理程序组织实施采购工作。</w:t>
      </w:r>
    </w:p>
    <w:p>
      <w:pPr>
        <w:pStyle w:val="5"/>
        <w:ind w:left="0" w:leftChars="0" w:firstLine="480" w:firstLineChars="200"/>
        <w:jc w:val="left"/>
        <w:rPr>
          <w:rFonts w:hint="eastAsia" w:ascii="宋体" w:hAnsi="宋体" w:eastAsia="宋体" w:cs="Times New Roman"/>
          <w:color w:val="000000"/>
          <w:szCs w:val="24"/>
          <w:highlight w:val="yellow"/>
          <w:lang w:val="en-US" w:eastAsia="zh-CN"/>
        </w:rPr>
      </w:pPr>
      <w:r>
        <w:rPr>
          <w:rFonts w:hint="eastAsia" w:ascii="宋体" w:hAnsi="宋体"/>
          <w:color w:val="000000"/>
          <w:szCs w:val="24"/>
          <w:lang w:val="en-US" w:eastAsia="zh-CN"/>
        </w:rPr>
        <w:t>2</w:t>
      </w:r>
      <w:r>
        <w:rPr>
          <w:rFonts w:hint="default" w:ascii="宋体" w:hAnsi="宋体"/>
          <w:color w:val="000000"/>
          <w:szCs w:val="24"/>
          <w:lang w:val="en-US" w:eastAsia="zh-CN"/>
        </w:rPr>
        <w:t>.</w:t>
      </w:r>
      <w:r>
        <w:rPr>
          <w:rFonts w:hint="eastAsia" w:ascii="宋体" w:hAnsi="宋体"/>
          <w:color w:val="000000"/>
          <w:szCs w:val="24"/>
        </w:rPr>
        <w:t>通过比选的采购代理资格有效期为</w:t>
      </w:r>
      <w:r>
        <w:rPr>
          <w:rFonts w:hint="eastAsia" w:ascii="宋体" w:hAnsi="宋体"/>
          <w:color w:val="000000"/>
          <w:szCs w:val="24"/>
          <w:lang w:val="en-US" w:eastAsia="zh-CN"/>
        </w:rPr>
        <w:t>3</w:t>
      </w:r>
      <w:r>
        <w:rPr>
          <w:rFonts w:hint="eastAsia" w:ascii="宋体" w:hAnsi="宋体"/>
          <w:color w:val="000000"/>
          <w:szCs w:val="24"/>
        </w:rPr>
        <w:t>年，</w:t>
      </w:r>
      <w:r>
        <w:rPr>
          <w:rFonts w:hint="eastAsia" w:ascii="宋体" w:hAnsi="宋体"/>
          <w:color w:val="000000"/>
          <w:szCs w:val="24"/>
          <w:highlight w:val="none"/>
        </w:rPr>
        <w:t>从代理合同签订之日起</w:t>
      </w:r>
      <w:r>
        <w:rPr>
          <w:rFonts w:hint="eastAsia" w:ascii="宋体" w:hAnsi="宋体"/>
          <w:color w:val="000000"/>
          <w:szCs w:val="24"/>
          <w:highlight w:val="none"/>
          <w:lang w:val="en-US" w:eastAsia="zh-CN"/>
        </w:rPr>
        <w:t>生</w:t>
      </w:r>
      <w:r>
        <w:rPr>
          <w:rFonts w:hint="eastAsia" w:ascii="宋体" w:hAnsi="宋体"/>
          <w:color w:val="000000"/>
          <w:szCs w:val="24"/>
          <w:highlight w:val="none"/>
        </w:rPr>
        <w:t>效。</w:t>
      </w:r>
      <w:r>
        <w:rPr>
          <w:rFonts w:hint="eastAsia" w:ascii="宋体" w:hAnsi="宋体"/>
          <w:szCs w:val="24"/>
          <w:highlight w:val="none"/>
        </w:rPr>
        <w:t>如</w:t>
      </w:r>
      <w:r>
        <w:rPr>
          <w:rFonts w:hint="eastAsia" w:ascii="宋体" w:hAnsi="宋体"/>
          <w:szCs w:val="24"/>
        </w:rPr>
        <w:t>遇国家有关政府采购政策发生变化或由于其他原因，保留对入选采购代理机构进行调整</w:t>
      </w:r>
      <w:r>
        <w:rPr>
          <w:rFonts w:hint="eastAsia" w:ascii="宋体" w:hAnsi="宋体" w:eastAsia="宋体" w:cs="Times New Roman"/>
          <w:color w:val="000000"/>
          <w:szCs w:val="24"/>
          <w:lang w:val="en-US" w:eastAsia="zh-CN"/>
        </w:rPr>
        <w:t>的权力。</w:t>
      </w:r>
    </w:p>
    <w:p>
      <w:pPr>
        <w:pStyle w:val="3"/>
        <w:spacing w:before="156" w:beforeLines="50" w:after="0" w:line="360" w:lineRule="auto"/>
        <w:ind w:firstLine="482" w:firstLineChars="200"/>
        <w:jc w:val="left"/>
        <w:rPr>
          <w:rFonts w:hint="eastAsia"/>
          <w:sz w:val="24"/>
          <w:szCs w:val="24"/>
        </w:rPr>
      </w:pPr>
      <w:r>
        <w:rPr>
          <w:rFonts w:hint="eastAsia"/>
          <w:sz w:val="24"/>
          <w:szCs w:val="24"/>
        </w:rPr>
        <w:t>二、合格的参选人资格</w:t>
      </w:r>
    </w:p>
    <w:p>
      <w:pPr>
        <w:pStyle w:val="5"/>
        <w:adjustRightInd w:val="0"/>
        <w:snapToGrid w:val="0"/>
        <w:ind w:firstLine="480" w:firstLineChars="200"/>
        <w:jc w:val="left"/>
        <w:rPr>
          <w:rFonts w:hint="eastAsia" w:ascii="宋体" w:hAnsi="宋体" w:eastAsia="宋体"/>
          <w:color w:val="auto"/>
          <w:szCs w:val="24"/>
          <w:lang w:eastAsia="zh-CN"/>
        </w:rPr>
      </w:pPr>
      <w:r>
        <w:rPr>
          <w:rFonts w:hint="eastAsia" w:ascii="宋体" w:hAnsi="宋体"/>
          <w:color w:val="auto"/>
          <w:szCs w:val="24"/>
        </w:rPr>
        <w:t>1.参选人应为“中国政府采购网”政府采购代理</w:t>
      </w:r>
      <w:r>
        <w:rPr>
          <w:rFonts w:ascii="宋体" w:hAnsi="宋体"/>
          <w:color w:val="auto"/>
          <w:szCs w:val="24"/>
        </w:rPr>
        <w:t>机构名单</w:t>
      </w:r>
      <w:r>
        <w:rPr>
          <w:rFonts w:hint="eastAsia" w:ascii="宋体" w:hAnsi="宋体"/>
          <w:color w:val="auto"/>
          <w:szCs w:val="24"/>
        </w:rPr>
        <w:t>（北京市）的企业</w:t>
      </w:r>
      <w:r>
        <w:rPr>
          <w:rFonts w:hint="eastAsia" w:ascii="宋体" w:hAnsi="宋体"/>
          <w:color w:val="auto"/>
          <w:szCs w:val="24"/>
          <w:lang w:eastAsia="zh-CN"/>
        </w:rPr>
        <w:t>。</w:t>
      </w:r>
    </w:p>
    <w:p>
      <w:pPr>
        <w:pStyle w:val="5"/>
        <w:adjustRightInd w:val="0"/>
        <w:snapToGrid w:val="0"/>
        <w:ind w:firstLine="480" w:firstLineChars="200"/>
        <w:jc w:val="left"/>
        <w:rPr>
          <w:rFonts w:hint="eastAsia" w:ascii="宋体" w:hAnsi="宋体"/>
          <w:color w:val="auto"/>
          <w:szCs w:val="24"/>
        </w:rPr>
      </w:pPr>
      <w:r>
        <w:rPr>
          <w:rFonts w:hint="eastAsia" w:ascii="宋体" w:hAnsi="宋体"/>
          <w:color w:val="auto"/>
          <w:szCs w:val="24"/>
        </w:rPr>
        <w:t>2.未被列入“中国政府采购网”政府采购代理机构不良行为记录名单。</w:t>
      </w:r>
    </w:p>
    <w:p>
      <w:pPr>
        <w:pStyle w:val="5"/>
        <w:adjustRightInd w:val="0"/>
        <w:snapToGrid w:val="0"/>
        <w:ind w:firstLine="480" w:firstLineChars="200"/>
        <w:jc w:val="left"/>
        <w:rPr>
          <w:rFonts w:hint="eastAsia" w:ascii="宋体" w:hAnsi="宋体"/>
          <w:szCs w:val="24"/>
        </w:rPr>
      </w:pPr>
      <w:r>
        <w:rPr>
          <w:rFonts w:hint="eastAsia" w:ascii="宋体" w:hAnsi="宋体"/>
          <w:color w:val="auto"/>
          <w:szCs w:val="24"/>
        </w:rPr>
        <w:t>3.近三年无重大经营违法违规事件、参选人或其法定代表人未被司法和行政执法机构列入“失</w:t>
      </w:r>
      <w:r>
        <w:rPr>
          <w:rFonts w:hint="eastAsia" w:ascii="宋体" w:hAnsi="宋体"/>
          <w:szCs w:val="24"/>
        </w:rPr>
        <w:t>信被执行人名单”。</w:t>
      </w:r>
    </w:p>
    <w:p>
      <w:pPr>
        <w:pStyle w:val="3"/>
        <w:spacing w:before="0" w:after="0" w:line="360" w:lineRule="auto"/>
        <w:ind w:firstLine="482" w:firstLineChars="200"/>
        <w:jc w:val="left"/>
        <w:rPr>
          <w:rFonts w:hint="default" w:eastAsia="宋体"/>
          <w:sz w:val="24"/>
          <w:szCs w:val="24"/>
          <w:lang w:val="en-US" w:eastAsia="zh-CN"/>
        </w:rPr>
      </w:pPr>
      <w:r>
        <w:rPr>
          <w:rFonts w:hint="eastAsia"/>
          <w:sz w:val="24"/>
          <w:szCs w:val="24"/>
          <w:lang w:val="en-US" w:eastAsia="zh-CN"/>
        </w:rPr>
        <w:t>三</w:t>
      </w:r>
      <w:r>
        <w:rPr>
          <w:rFonts w:hint="eastAsia"/>
          <w:sz w:val="24"/>
          <w:szCs w:val="24"/>
        </w:rPr>
        <w:t>、</w:t>
      </w:r>
      <w:r>
        <w:rPr>
          <w:rFonts w:hint="eastAsia"/>
          <w:sz w:val="24"/>
          <w:szCs w:val="24"/>
          <w:lang w:val="en-US" w:eastAsia="zh-CN"/>
        </w:rPr>
        <w:t>参选文件</w:t>
      </w:r>
    </w:p>
    <w:p>
      <w:pPr>
        <w:pStyle w:val="3"/>
        <w:spacing w:before="0" w:after="0" w:line="360" w:lineRule="auto"/>
        <w:ind w:firstLine="482" w:firstLineChars="200"/>
        <w:jc w:val="left"/>
        <w:rPr>
          <w:rFonts w:hint="eastAsia"/>
          <w:sz w:val="24"/>
          <w:szCs w:val="24"/>
        </w:rPr>
      </w:pPr>
      <w:r>
        <w:rPr>
          <w:rFonts w:hint="eastAsia"/>
          <w:sz w:val="24"/>
          <w:szCs w:val="24"/>
          <w:lang w:val="en-US" w:eastAsia="zh-CN"/>
        </w:rPr>
        <w:t>1</w:t>
      </w:r>
      <w:r>
        <w:rPr>
          <w:rFonts w:hint="default"/>
          <w:sz w:val="24"/>
          <w:szCs w:val="24"/>
          <w:lang w:val="en-US" w:eastAsia="zh-CN"/>
        </w:rPr>
        <w:t xml:space="preserve">. </w:t>
      </w:r>
      <w:r>
        <w:rPr>
          <w:rFonts w:hint="eastAsia"/>
          <w:sz w:val="24"/>
          <w:szCs w:val="24"/>
        </w:rPr>
        <w:t>递交参选文件</w:t>
      </w:r>
    </w:p>
    <w:p>
      <w:pPr>
        <w:pStyle w:val="9"/>
        <w:adjustRightInd w:val="0"/>
        <w:snapToGrid w:val="0"/>
        <w:ind w:right="0" w:firstLine="480" w:firstLineChars="200"/>
        <w:jc w:val="left"/>
        <w:rPr>
          <w:rFonts w:hint="eastAsia" w:hAnsi="宋体" w:eastAsia="宋体" w:cs="Times New Roman"/>
          <w:sz w:val="24"/>
          <w:szCs w:val="24"/>
          <w:lang w:eastAsia="zh-CN"/>
        </w:rPr>
      </w:pPr>
      <w:r>
        <w:rPr>
          <w:rFonts w:hint="eastAsia" w:hAnsi="宋体"/>
          <w:sz w:val="24"/>
          <w:szCs w:val="24"/>
        </w:rPr>
        <w:t>参选人的参选文件及相关资料应</w:t>
      </w:r>
      <w:r>
        <w:rPr>
          <w:rFonts w:hint="eastAsia" w:hAnsi="宋体"/>
          <w:sz w:val="24"/>
          <w:szCs w:val="24"/>
          <w:lang w:val="en-US" w:eastAsia="zh-CN"/>
        </w:rPr>
        <w:t>以纸质材料形式</w:t>
      </w:r>
      <w:r>
        <w:rPr>
          <w:rFonts w:hint="eastAsia" w:hAnsi="宋体"/>
          <w:sz w:val="24"/>
          <w:szCs w:val="24"/>
          <w:lang w:eastAsia="zh-CN"/>
        </w:rPr>
        <w:t>（</w:t>
      </w:r>
      <w:r>
        <w:rPr>
          <w:rFonts w:hint="default" w:hAnsi="宋体"/>
          <w:sz w:val="24"/>
          <w:szCs w:val="24"/>
          <w:lang w:val="en-US" w:eastAsia="zh-CN"/>
        </w:rPr>
        <w:t>1</w:t>
      </w:r>
      <w:r>
        <w:rPr>
          <w:rFonts w:hint="eastAsia" w:hAnsi="宋体"/>
          <w:sz w:val="24"/>
          <w:szCs w:val="24"/>
          <w:lang w:val="en-US" w:eastAsia="zh-CN"/>
        </w:rPr>
        <w:t>正</w:t>
      </w:r>
      <w:r>
        <w:rPr>
          <w:rFonts w:hint="default" w:hAnsi="宋体"/>
          <w:sz w:val="24"/>
          <w:szCs w:val="24"/>
          <w:lang w:val="en-US" w:eastAsia="zh-CN"/>
        </w:rPr>
        <w:t>2</w:t>
      </w:r>
      <w:r>
        <w:rPr>
          <w:rFonts w:hint="eastAsia" w:hAnsi="宋体"/>
          <w:sz w:val="24"/>
          <w:szCs w:val="24"/>
          <w:lang w:val="en-US" w:eastAsia="zh-CN"/>
        </w:rPr>
        <w:t>副，加盖企业公章</w:t>
      </w:r>
      <w:r>
        <w:rPr>
          <w:rFonts w:hint="eastAsia" w:hAnsi="宋体"/>
          <w:sz w:val="24"/>
          <w:szCs w:val="24"/>
          <w:lang w:eastAsia="zh-CN"/>
        </w:rPr>
        <w:t>）</w:t>
      </w:r>
      <w:r>
        <w:rPr>
          <w:rFonts w:hint="eastAsia" w:hAnsi="宋体"/>
          <w:sz w:val="24"/>
          <w:szCs w:val="24"/>
        </w:rPr>
        <w:t>，</w:t>
      </w:r>
      <w:r>
        <w:rPr>
          <w:rFonts w:hint="eastAsia" w:hAnsi="宋体" w:eastAsia="宋体" w:cs="Times New Roman"/>
          <w:sz w:val="24"/>
          <w:szCs w:val="24"/>
          <w:lang w:val="en-US" w:eastAsia="zh-CN"/>
        </w:rPr>
        <w:t>于</w:t>
      </w:r>
      <w:r>
        <w:rPr>
          <w:rFonts w:hint="eastAsia" w:hAnsi="宋体" w:eastAsia="宋体" w:cs="Times New Roman"/>
          <w:sz w:val="24"/>
          <w:szCs w:val="24"/>
        </w:rPr>
        <w:t>202</w:t>
      </w:r>
      <w:r>
        <w:rPr>
          <w:rFonts w:hint="default" w:hAnsi="宋体" w:cs="Times New Roman"/>
          <w:sz w:val="24"/>
          <w:szCs w:val="24"/>
          <w:lang w:val="en-US" w:eastAsia="zh-CN"/>
        </w:rPr>
        <w:t>6</w:t>
      </w:r>
      <w:r>
        <w:rPr>
          <w:rFonts w:hint="eastAsia" w:hAnsi="宋体" w:eastAsia="宋体" w:cs="Times New Roman"/>
          <w:sz w:val="24"/>
          <w:szCs w:val="24"/>
        </w:rPr>
        <w:t>年</w:t>
      </w:r>
      <w:r>
        <w:rPr>
          <w:rFonts w:hint="default" w:hAnsi="宋体" w:cs="Times New Roman"/>
          <w:sz w:val="24"/>
          <w:szCs w:val="24"/>
          <w:lang w:val="en-US" w:eastAsia="zh-CN"/>
        </w:rPr>
        <w:t>4</w:t>
      </w:r>
      <w:r>
        <w:rPr>
          <w:rFonts w:hint="eastAsia" w:hAnsi="宋体" w:eastAsia="宋体" w:cs="Times New Roman"/>
          <w:sz w:val="24"/>
          <w:szCs w:val="24"/>
        </w:rPr>
        <w:t>月</w:t>
      </w:r>
      <w:r>
        <w:rPr>
          <w:rFonts w:hint="eastAsia" w:hAnsi="宋体" w:eastAsia="宋体" w:cs="Times New Roman"/>
          <w:sz w:val="24"/>
          <w:szCs w:val="24"/>
          <w:lang w:val="en-US" w:eastAsia="zh-CN"/>
        </w:rPr>
        <w:t>2</w:t>
      </w:r>
      <w:r>
        <w:rPr>
          <w:rFonts w:hint="default" w:hAnsi="宋体" w:cs="Times New Roman"/>
          <w:sz w:val="24"/>
          <w:szCs w:val="24"/>
          <w:lang w:val="en-US"/>
        </w:rPr>
        <w:t>3</w:t>
      </w:r>
      <w:r>
        <w:rPr>
          <w:rFonts w:hint="eastAsia" w:hAnsi="宋体" w:eastAsia="宋体" w:cs="Times New Roman"/>
          <w:sz w:val="24"/>
          <w:szCs w:val="24"/>
        </w:rPr>
        <w:t>日</w:t>
      </w:r>
      <w:r>
        <w:rPr>
          <w:rFonts w:hint="default" w:hAnsi="宋体" w:cs="Times New Roman"/>
          <w:sz w:val="24"/>
          <w:szCs w:val="24"/>
          <w:lang w:val="en-US"/>
        </w:rPr>
        <w:t>11</w:t>
      </w:r>
      <w:r>
        <w:rPr>
          <w:rFonts w:hint="eastAsia" w:hAnsi="宋体" w:eastAsia="宋体" w:cs="Times New Roman"/>
          <w:sz w:val="24"/>
          <w:szCs w:val="24"/>
        </w:rPr>
        <w:t>时</w:t>
      </w:r>
      <w:r>
        <w:rPr>
          <w:rFonts w:hint="eastAsia" w:hAnsi="宋体" w:eastAsia="宋体" w:cs="Times New Roman"/>
          <w:sz w:val="24"/>
          <w:szCs w:val="24"/>
          <w:lang w:val="en-US" w:eastAsia="zh-CN"/>
        </w:rPr>
        <w:t>30</w:t>
      </w:r>
      <w:r>
        <w:rPr>
          <w:rFonts w:hint="eastAsia" w:hAnsi="宋体" w:eastAsia="宋体" w:cs="Times New Roman"/>
          <w:sz w:val="24"/>
          <w:szCs w:val="24"/>
        </w:rPr>
        <w:t>分（北京时间）前</w:t>
      </w:r>
      <w:r>
        <w:rPr>
          <w:rFonts w:hint="eastAsia" w:hAnsi="宋体" w:cs="Times New Roman"/>
          <w:sz w:val="24"/>
          <w:szCs w:val="24"/>
          <w:lang w:val="en-US" w:eastAsia="zh-CN"/>
        </w:rPr>
        <w:t>寄至以下地址</w:t>
      </w:r>
      <w:r>
        <w:rPr>
          <w:rFonts w:hint="eastAsia" w:hAnsi="宋体" w:cs="Times New Roman"/>
          <w:sz w:val="24"/>
          <w:szCs w:val="24"/>
          <w:lang w:eastAsia="zh-CN"/>
        </w:rPr>
        <w:t>：</w:t>
      </w:r>
    </w:p>
    <w:p>
      <w:pPr>
        <w:pStyle w:val="9"/>
        <w:adjustRightInd w:val="0"/>
        <w:snapToGrid w:val="0"/>
        <w:ind w:right="0" w:firstLine="480" w:firstLineChars="200"/>
        <w:jc w:val="left"/>
        <w:rPr>
          <w:rFonts w:hint="default" w:hAnsi="宋体" w:eastAsia="宋体"/>
          <w:color w:val="000000"/>
          <w:sz w:val="24"/>
          <w:szCs w:val="24"/>
          <w:lang w:val="en-US" w:eastAsia="zh-CN"/>
        </w:rPr>
      </w:pPr>
      <w:r>
        <w:rPr>
          <w:rFonts w:hint="eastAsia" w:hAnsi="宋体"/>
          <w:color w:val="000000"/>
          <w:sz w:val="24"/>
          <w:szCs w:val="24"/>
          <w:lang w:val="en-US" w:eastAsia="zh-CN"/>
        </w:rPr>
        <w:t>联系</w:t>
      </w:r>
      <w:r>
        <w:rPr>
          <w:rFonts w:hint="eastAsia" w:hAnsi="宋体"/>
          <w:color w:val="000000"/>
          <w:sz w:val="24"/>
          <w:szCs w:val="24"/>
        </w:rPr>
        <w:t>地址：北京市</w:t>
      </w:r>
      <w:r>
        <w:rPr>
          <w:rFonts w:hint="eastAsia" w:hAnsi="宋体"/>
          <w:color w:val="000000"/>
          <w:sz w:val="24"/>
          <w:szCs w:val="24"/>
          <w:lang w:val="en-US" w:eastAsia="zh-CN"/>
        </w:rPr>
        <w:t>东城区体育馆路</w:t>
      </w:r>
      <w:r>
        <w:rPr>
          <w:rFonts w:hint="default" w:hAnsi="宋体"/>
          <w:color w:val="000000"/>
          <w:sz w:val="24"/>
          <w:szCs w:val="24"/>
          <w:lang w:val="en-US" w:eastAsia="zh-CN"/>
        </w:rPr>
        <w:t>11</w:t>
      </w:r>
      <w:r>
        <w:rPr>
          <w:rFonts w:hint="eastAsia" w:hAnsi="宋体"/>
          <w:color w:val="000000"/>
          <w:sz w:val="24"/>
          <w:szCs w:val="24"/>
          <w:lang w:val="en-US" w:eastAsia="zh-CN"/>
        </w:rPr>
        <w:t>号</w:t>
      </w:r>
    </w:p>
    <w:p>
      <w:pPr>
        <w:pStyle w:val="9"/>
        <w:adjustRightInd w:val="0"/>
        <w:snapToGrid w:val="0"/>
        <w:ind w:right="0" w:firstLine="480" w:firstLineChars="200"/>
        <w:jc w:val="left"/>
        <w:rPr>
          <w:rFonts w:hint="eastAsia" w:hAnsi="宋体"/>
          <w:sz w:val="24"/>
          <w:szCs w:val="24"/>
          <w:lang w:val="en-US" w:eastAsia="zh-CN"/>
        </w:rPr>
      </w:pPr>
      <w:r>
        <w:rPr>
          <w:rFonts w:hint="eastAsia" w:hAnsi="宋体"/>
          <w:sz w:val="24"/>
          <w:szCs w:val="24"/>
        </w:rPr>
        <w:t>电话：010-</w:t>
      </w:r>
      <w:r>
        <w:rPr>
          <w:rFonts w:hint="eastAsia" w:hAnsi="宋体"/>
          <w:sz w:val="24"/>
          <w:szCs w:val="24"/>
          <w:lang w:val="en-US" w:eastAsia="zh-CN"/>
        </w:rPr>
        <w:t>8718</w:t>
      </w:r>
      <w:r>
        <w:rPr>
          <w:rFonts w:hint="default" w:hAnsi="宋体"/>
          <w:sz w:val="24"/>
          <w:szCs w:val="24"/>
          <w:lang w:val="en-US" w:eastAsia="zh-CN"/>
        </w:rPr>
        <w:t>2552</w:t>
      </w:r>
      <w:r>
        <w:rPr>
          <w:rFonts w:hint="eastAsia" w:hAnsi="宋体"/>
          <w:sz w:val="24"/>
          <w:szCs w:val="24"/>
        </w:rPr>
        <w:t>，联系人：</w:t>
      </w:r>
      <w:r>
        <w:rPr>
          <w:rFonts w:hint="eastAsia" w:hAnsi="宋体"/>
          <w:sz w:val="24"/>
          <w:szCs w:val="24"/>
          <w:lang w:val="en-US" w:eastAsia="zh-CN"/>
        </w:rPr>
        <w:t>赵丽</w:t>
      </w:r>
    </w:p>
    <w:p>
      <w:pPr>
        <w:pStyle w:val="4"/>
        <w:spacing w:before="0" w:after="0"/>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．参选文件的构成</w:t>
      </w:r>
    </w:p>
    <w:p>
      <w:pPr>
        <w:spacing w:line="360" w:lineRule="auto"/>
        <w:ind w:firstLine="480" w:firstLineChars="200"/>
        <w:jc w:val="left"/>
        <w:rPr>
          <w:rFonts w:hint="eastAsia" w:ascii="宋体" w:hAnsi="宋体"/>
          <w:sz w:val="24"/>
          <w:szCs w:val="24"/>
        </w:rPr>
      </w:pPr>
      <w:r>
        <w:rPr>
          <w:rFonts w:hint="eastAsia" w:ascii="宋体" w:hAnsi="宋体"/>
          <w:sz w:val="24"/>
          <w:szCs w:val="24"/>
        </w:rPr>
        <w:t>为通过资格比选，并在此之后为</w:t>
      </w:r>
      <w:r>
        <w:rPr>
          <w:rFonts w:hint="eastAsia" w:ascii="宋体" w:hAnsi="宋体"/>
          <w:sz w:val="24"/>
          <w:szCs w:val="24"/>
          <w:u w:val="single"/>
        </w:rPr>
        <w:t>采购人</w:t>
      </w:r>
      <w:r>
        <w:rPr>
          <w:rFonts w:hint="eastAsia" w:ascii="宋体" w:hAnsi="宋体"/>
          <w:sz w:val="24"/>
          <w:szCs w:val="24"/>
        </w:rPr>
        <w:t>提供采购代理服务，资格比选参选人应向</w:t>
      </w:r>
      <w:r>
        <w:rPr>
          <w:rFonts w:hint="eastAsia" w:ascii="宋体" w:hAnsi="宋体"/>
          <w:sz w:val="24"/>
          <w:szCs w:val="24"/>
          <w:u w:val="single"/>
        </w:rPr>
        <w:t>采购人</w:t>
      </w:r>
      <w:r>
        <w:rPr>
          <w:rFonts w:hint="eastAsia" w:ascii="宋体" w:hAnsi="宋体"/>
          <w:sz w:val="24"/>
          <w:szCs w:val="24"/>
        </w:rPr>
        <w:t>提供充分和有效的证明材料，证明其具备足够的条件和能力来有效地组织采购活动。为此，参选文件中应至少包含以下内容：</w:t>
      </w:r>
    </w:p>
    <w:p>
      <w:pPr>
        <w:spacing w:line="360" w:lineRule="auto"/>
        <w:ind w:firstLine="480" w:firstLineChars="200"/>
        <w:jc w:val="left"/>
        <w:rPr>
          <w:rFonts w:hint="eastAsia"/>
          <w:sz w:val="24"/>
          <w:szCs w:val="24"/>
        </w:rPr>
      </w:pPr>
      <w:r>
        <w:rPr>
          <w:rFonts w:hint="default"/>
          <w:sz w:val="24"/>
          <w:szCs w:val="24"/>
          <w:lang w:val="en-US"/>
        </w:rPr>
        <w:t>2</w:t>
      </w:r>
      <w:r>
        <w:rPr>
          <w:rFonts w:hint="eastAsia"/>
          <w:sz w:val="24"/>
          <w:szCs w:val="24"/>
        </w:rPr>
        <w:t>.1 参选文件及资格证明文件</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 xml:space="preserve">.1.1申请书 </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.1.2法定代表人授权委托书</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.1.3公司简介</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.1.4营业执照复印件加盖公章</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.1.5 政府采购招标代理资格（中国政府采购网政府采购代理机构名单查询结果截图并加盖公章）</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参选人认为必要的其他文件</w:t>
      </w:r>
    </w:p>
    <w:p>
      <w:pPr>
        <w:spacing w:line="360" w:lineRule="auto"/>
        <w:ind w:firstLine="480" w:firstLineChars="200"/>
        <w:rPr>
          <w:rFonts w:hint="eastAsia"/>
          <w:sz w:val="24"/>
          <w:szCs w:val="24"/>
        </w:rPr>
      </w:pPr>
      <w:r>
        <w:rPr>
          <w:rFonts w:hint="default"/>
          <w:sz w:val="24"/>
          <w:szCs w:val="24"/>
          <w:lang w:val="en-US"/>
        </w:rPr>
        <w:t>2</w:t>
      </w:r>
      <w:r>
        <w:rPr>
          <w:rFonts w:hint="eastAsia"/>
          <w:sz w:val="24"/>
          <w:szCs w:val="24"/>
        </w:rPr>
        <w:t>.2 采购代理方案 ：包括实施方案（分别提供货物、服务方案和工程实施方案）、代理服务费收取</w:t>
      </w:r>
      <w:r>
        <w:rPr>
          <w:rFonts w:hint="eastAsia"/>
          <w:sz w:val="24"/>
          <w:szCs w:val="24"/>
          <w:lang w:val="en-US" w:eastAsia="zh-CN"/>
        </w:rPr>
        <w:t>方式</w:t>
      </w:r>
      <w:r>
        <w:rPr>
          <w:rFonts w:hint="eastAsia"/>
          <w:sz w:val="24"/>
          <w:szCs w:val="24"/>
        </w:rPr>
        <w:t>和承诺等。</w:t>
      </w:r>
    </w:p>
    <w:p>
      <w:pPr>
        <w:spacing w:line="360" w:lineRule="auto"/>
        <w:ind w:firstLine="480" w:firstLineChars="200"/>
        <w:jc w:val="left"/>
        <w:rPr>
          <w:rFonts w:hint="eastAsia"/>
          <w:sz w:val="24"/>
          <w:szCs w:val="24"/>
        </w:rPr>
      </w:pPr>
      <w:r>
        <w:rPr>
          <w:rFonts w:hint="default"/>
          <w:sz w:val="24"/>
          <w:szCs w:val="24"/>
          <w:lang w:val="en-US"/>
        </w:rPr>
        <w:t>2</w:t>
      </w:r>
      <w:r>
        <w:rPr>
          <w:rFonts w:hint="eastAsia"/>
          <w:sz w:val="24"/>
          <w:szCs w:val="24"/>
        </w:rPr>
        <w:t>.3 项目组织结构</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.3.1 参选人应为本项目建立</w:t>
      </w:r>
      <w:r>
        <w:rPr>
          <w:rFonts w:hint="eastAsia" w:ascii="宋体" w:hAnsi="宋体"/>
          <w:sz w:val="24"/>
          <w:szCs w:val="24"/>
          <w:lang w:val="en-US" w:eastAsia="zh-CN"/>
        </w:rPr>
        <w:t>专门的</w:t>
      </w:r>
      <w:r>
        <w:rPr>
          <w:rFonts w:hint="eastAsia" w:ascii="宋体" w:hAnsi="宋体"/>
          <w:sz w:val="24"/>
          <w:szCs w:val="24"/>
        </w:rPr>
        <w:t>项目</w:t>
      </w:r>
      <w:r>
        <w:rPr>
          <w:rFonts w:hint="eastAsia" w:ascii="宋体" w:hAnsi="宋体"/>
          <w:sz w:val="24"/>
          <w:szCs w:val="24"/>
          <w:lang w:val="en-US" w:eastAsia="zh-CN"/>
        </w:rPr>
        <w:t>工作组</w:t>
      </w:r>
      <w:r>
        <w:rPr>
          <w:rFonts w:hint="eastAsia" w:ascii="宋体" w:hAnsi="宋体"/>
          <w:sz w:val="24"/>
          <w:szCs w:val="24"/>
        </w:rPr>
        <w:t>，项目组人数不少于5人</w:t>
      </w:r>
      <w:r>
        <w:rPr>
          <w:rFonts w:hint="eastAsia" w:ascii="宋体" w:hAnsi="宋体"/>
          <w:sz w:val="24"/>
          <w:szCs w:val="24"/>
          <w:lang w:eastAsia="zh-CN"/>
        </w:rPr>
        <w:t>，</w:t>
      </w:r>
      <w:r>
        <w:rPr>
          <w:rFonts w:hint="eastAsia" w:ascii="宋体" w:hAnsi="宋体"/>
          <w:sz w:val="24"/>
          <w:szCs w:val="24"/>
          <w:lang w:val="en-US" w:eastAsia="zh-CN"/>
        </w:rPr>
        <w:t>应包含可承接货物、服务及工程项目采购工作的人员</w:t>
      </w:r>
      <w:r>
        <w:rPr>
          <w:rFonts w:hint="eastAsia" w:ascii="宋体" w:hAnsi="宋体"/>
          <w:sz w:val="24"/>
          <w:szCs w:val="24"/>
        </w:rPr>
        <w:t>。</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.3.2参选人应提供项目经理及团队成员简历表。</w:t>
      </w:r>
    </w:p>
    <w:p>
      <w:pPr>
        <w:spacing w:line="360" w:lineRule="auto"/>
        <w:ind w:firstLine="480" w:firstLineChars="200"/>
        <w:jc w:val="left"/>
        <w:rPr>
          <w:rFonts w:hint="eastAsia" w:ascii="宋体" w:hAnsi="宋体"/>
          <w:sz w:val="24"/>
          <w:szCs w:val="24"/>
        </w:rPr>
      </w:pPr>
      <w:r>
        <w:rPr>
          <w:rFonts w:hint="default" w:ascii="宋体" w:hAnsi="宋体"/>
          <w:sz w:val="24"/>
          <w:szCs w:val="24"/>
          <w:lang w:val="en-US"/>
        </w:rPr>
        <w:t>2</w:t>
      </w:r>
      <w:r>
        <w:rPr>
          <w:rFonts w:hint="eastAsia" w:ascii="宋体" w:hAnsi="宋体"/>
          <w:sz w:val="24"/>
          <w:szCs w:val="24"/>
        </w:rPr>
        <w:t>.3.3如遇采购人委托的采购项目较为集中时，参选人应在其内部协调其他团队人员，以保证采购人采购项目实施的时效性。</w:t>
      </w:r>
    </w:p>
    <w:p>
      <w:pPr>
        <w:pStyle w:val="4"/>
        <w:spacing w:before="0" w:after="0"/>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.参选文件的有效性</w:t>
      </w:r>
    </w:p>
    <w:p>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.1资格比选参选人须完整填报资格比选申请和相关资料，并及时提供对所提交资料的澄清或补充材料。</w:t>
      </w:r>
    </w:p>
    <w:p>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.2参选人应保证所递交的所有文件内容真实有效，不得弄虚作假。无论何时，一经发现弄虚作假，将可能导致参选人资格作废。</w:t>
      </w:r>
    </w:p>
    <w:p>
      <w:pPr>
        <w:spacing w:line="360" w:lineRule="auto"/>
        <w:ind w:firstLine="480" w:firstLineChars="200"/>
        <w:jc w:val="left"/>
        <w:rPr>
          <w:rFonts w:hint="eastAsia" w:ascii="宋体" w:hAnsi="宋体"/>
          <w:szCs w:val="24"/>
        </w:rPr>
      </w:pPr>
      <w:r>
        <w:rPr>
          <w:rFonts w:hint="eastAsia" w:ascii="宋体" w:hAnsi="宋体"/>
          <w:sz w:val="24"/>
          <w:szCs w:val="24"/>
          <w:lang w:val="en-US" w:eastAsia="zh-CN"/>
        </w:rPr>
        <w:t>3</w:t>
      </w:r>
      <w:r>
        <w:rPr>
          <w:rFonts w:hint="eastAsia" w:ascii="宋体" w:hAnsi="宋体"/>
          <w:sz w:val="24"/>
          <w:szCs w:val="24"/>
        </w:rPr>
        <w:t>.3资格比选参选文件应由资格比选参选人的法定代表人或其授权代表签字。没有签字的申请将会被拒绝。由授权代表签字的，资格比选申请中应附有法定代表人正式签署的授权委托书。</w:t>
      </w:r>
    </w:p>
    <w:p>
      <w:pPr>
        <w:pStyle w:val="4"/>
        <w:spacing w:before="0" w:after="0"/>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.采购代理机构的责任</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具体详见后附“采购代理委托协议”</w:t>
      </w:r>
      <w:r>
        <w:rPr>
          <w:rFonts w:hint="eastAsia" w:ascii="宋体" w:hAnsi="宋体" w:eastAsia="宋体" w:cs="宋体"/>
          <w:b/>
          <w:bCs/>
          <w:sz w:val="24"/>
          <w:szCs w:val="24"/>
          <w:lang w:eastAsia="zh-CN"/>
        </w:rPr>
        <w:t>）</w:t>
      </w:r>
    </w:p>
    <w:p>
      <w:pPr>
        <w:pStyle w:val="5"/>
        <w:ind w:firstLine="480" w:firstLineChars="200"/>
        <w:jc w:val="left"/>
        <w:rPr>
          <w:rFonts w:hint="eastAsia" w:ascii="宋体" w:hAnsi="宋体"/>
          <w:szCs w:val="24"/>
        </w:rPr>
      </w:pPr>
      <w:r>
        <w:rPr>
          <w:rFonts w:hint="eastAsia" w:ascii="宋体" w:hAnsi="宋体"/>
          <w:szCs w:val="24"/>
          <w:lang w:val="en-US" w:eastAsia="zh-CN"/>
        </w:rPr>
        <w:t>4</w:t>
      </w:r>
      <w:r>
        <w:rPr>
          <w:rFonts w:hint="eastAsia" w:ascii="宋体" w:hAnsi="宋体"/>
          <w:szCs w:val="24"/>
        </w:rPr>
        <w:t>.1严格遵照《中华人民共和国政府采购法》及政府采购相关政策、法规，遵循公开透明、公平竞争、公正诚信、廉洁从业的原则开展采购代理工作。</w:t>
      </w:r>
    </w:p>
    <w:p>
      <w:pPr>
        <w:pStyle w:val="5"/>
        <w:ind w:firstLine="480" w:firstLineChars="200"/>
        <w:jc w:val="left"/>
        <w:rPr>
          <w:rFonts w:hint="eastAsia" w:ascii="宋体" w:hAnsi="宋体"/>
          <w:szCs w:val="24"/>
        </w:rPr>
      </w:pPr>
      <w:r>
        <w:rPr>
          <w:rFonts w:hint="eastAsia" w:ascii="宋体" w:hAnsi="宋体"/>
          <w:szCs w:val="24"/>
          <w:lang w:val="en-US" w:eastAsia="zh-CN"/>
        </w:rPr>
        <w:t>4</w:t>
      </w:r>
      <w:r>
        <w:rPr>
          <w:rFonts w:hint="eastAsia" w:ascii="宋体" w:hAnsi="宋体"/>
          <w:szCs w:val="24"/>
        </w:rPr>
        <w:t>.2 接受用户委托，在委托内容的范围内开展工作。</w:t>
      </w:r>
    </w:p>
    <w:p>
      <w:pPr>
        <w:pStyle w:val="5"/>
        <w:ind w:firstLine="480" w:firstLineChars="200"/>
        <w:jc w:val="left"/>
        <w:rPr>
          <w:rFonts w:hint="eastAsia" w:ascii="宋体" w:hAnsi="宋体"/>
          <w:szCs w:val="24"/>
        </w:rPr>
      </w:pPr>
      <w:r>
        <w:rPr>
          <w:rFonts w:hint="eastAsia" w:ascii="宋体" w:hAnsi="宋体"/>
          <w:szCs w:val="24"/>
          <w:lang w:val="en-US" w:eastAsia="zh-CN"/>
        </w:rPr>
        <w:t>4</w:t>
      </w:r>
      <w:r>
        <w:rPr>
          <w:rFonts w:hint="eastAsia" w:ascii="宋体" w:hAnsi="宋体"/>
          <w:szCs w:val="24"/>
        </w:rPr>
        <w:t>.3 入选的采购代理机构的项目经理、项目团队应保持相对稳定，不得随意变更。若因特殊情况必须进行变更，其替代人选的资格实质上不得低于参与比选时相应人员的资格，并须与采购人协商解决。</w:t>
      </w:r>
    </w:p>
    <w:p>
      <w:pPr>
        <w:pStyle w:val="5"/>
        <w:ind w:firstLine="480" w:firstLineChars="200"/>
        <w:jc w:val="left"/>
        <w:rPr>
          <w:rFonts w:hint="eastAsia" w:ascii="宋体" w:hAnsi="宋体"/>
          <w:szCs w:val="24"/>
        </w:rPr>
      </w:pPr>
      <w:r>
        <w:rPr>
          <w:rFonts w:hint="eastAsia" w:ascii="宋体" w:hAnsi="宋体"/>
          <w:szCs w:val="24"/>
          <w:lang w:val="en-US" w:eastAsia="zh-CN"/>
        </w:rPr>
        <w:t>4</w:t>
      </w:r>
      <w:r>
        <w:rPr>
          <w:rFonts w:hint="eastAsia" w:ascii="宋体" w:hAnsi="宋体"/>
          <w:szCs w:val="24"/>
        </w:rPr>
        <w:t>.4入选的采购代理机构若公司名称、资质、人员等事项发生变更，须及时向采购人提出备案、变更的申请。</w:t>
      </w:r>
    </w:p>
    <w:p>
      <w:pPr>
        <w:pStyle w:val="5"/>
        <w:ind w:left="479" w:leftChars="228" w:firstLine="0" w:firstLineChars="0"/>
        <w:jc w:val="left"/>
        <w:rPr>
          <w:rFonts w:hint="eastAsia" w:ascii="宋体" w:hAnsi="宋体" w:eastAsia="宋体"/>
          <w:szCs w:val="24"/>
          <w:lang w:val="en-US" w:eastAsia="zh-CN"/>
        </w:rPr>
      </w:pPr>
      <w:r>
        <w:rPr>
          <w:rFonts w:hint="eastAsia" w:ascii="宋体" w:hAnsi="宋体"/>
          <w:szCs w:val="24"/>
          <w:lang w:val="en-US" w:eastAsia="zh-CN"/>
        </w:rPr>
        <w:t>4</w:t>
      </w:r>
      <w:r>
        <w:rPr>
          <w:rFonts w:hint="eastAsia" w:ascii="宋体" w:hAnsi="宋体"/>
          <w:szCs w:val="24"/>
        </w:rPr>
        <w:t>.5入选的采购代理机构应为采购人提供及时、良好的服务，保证采购人的利</w:t>
      </w:r>
      <w:r>
        <w:rPr>
          <w:rFonts w:hint="eastAsia" w:ascii="宋体" w:hAnsi="宋体"/>
          <w:szCs w:val="24"/>
          <w:lang w:val="en-US" w:eastAsia="zh-CN"/>
        </w:rPr>
        <w:t>益。</w:t>
      </w:r>
    </w:p>
    <w:p>
      <w:pPr>
        <w:pStyle w:val="5"/>
        <w:ind w:left="0" w:leftChars="0" w:firstLine="480" w:firstLineChars="200"/>
        <w:jc w:val="left"/>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4.6入选的采购代理机构在代理期间受到行政处罚或出现重大违法违规的情况，采购人有权立即取消其代理资格。</w:t>
      </w:r>
    </w:p>
    <w:p>
      <w:pPr>
        <w:pStyle w:val="5"/>
        <w:ind w:left="0" w:leftChars="0" w:firstLine="480" w:firstLineChars="200"/>
        <w:jc w:val="left"/>
        <w:rPr>
          <w:rFonts w:hint="default" w:ascii="宋体" w:hAnsi="宋体" w:eastAsia="宋体" w:cs="Times New Roman"/>
          <w:szCs w:val="24"/>
          <w:lang w:val="en-US" w:eastAsia="zh-CN"/>
        </w:rPr>
      </w:pPr>
      <w:r>
        <w:rPr>
          <w:rFonts w:hint="default" w:ascii="宋体" w:hAnsi="宋体" w:cs="Times New Roman"/>
          <w:szCs w:val="24"/>
          <w:lang w:val="en-US" w:eastAsia="zh-CN"/>
        </w:rPr>
        <w:t>4.7 采购人对入选的采购代理机构实行动态管理，年末根据工作质量、表现、沟通、用户反馈等情况请业务委托部门进行综合年度考核，若考核不合格（出现两个业务处室业务部门在评价表中评价“不满意”），则终止代理协议。</w:t>
      </w:r>
    </w:p>
    <w:p>
      <w:pPr>
        <w:pStyle w:val="4"/>
        <w:spacing w:before="0" w:after="0"/>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评审原则</w:t>
      </w:r>
    </w:p>
    <w:p>
      <w:pPr>
        <w:pStyle w:val="5"/>
        <w:ind w:firstLine="480" w:firstLineChars="200"/>
        <w:jc w:val="left"/>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5.1</w:t>
      </w:r>
      <w:r>
        <w:rPr>
          <w:rFonts w:hint="default" w:ascii="宋体" w:hAnsi="宋体" w:eastAsia="宋体" w:cs="Times New Roman"/>
          <w:szCs w:val="24"/>
          <w:lang w:val="en-US" w:eastAsia="zh-CN"/>
        </w:rPr>
        <w:t>此次比选拟以采购代理费的报价作为评选原则</w:t>
      </w:r>
      <w:r>
        <w:rPr>
          <w:rFonts w:hint="eastAsia" w:ascii="宋体" w:hAnsi="宋体" w:eastAsia="宋体" w:cs="Times New Roman"/>
          <w:szCs w:val="24"/>
          <w:lang w:val="en-US" w:eastAsia="zh-CN"/>
        </w:rPr>
        <w:t>，</w:t>
      </w:r>
      <w:r>
        <w:rPr>
          <w:rFonts w:hint="default" w:ascii="宋体" w:hAnsi="宋体" w:eastAsia="宋体" w:cs="Times New Roman"/>
          <w:szCs w:val="24"/>
          <w:lang w:val="en-US" w:eastAsia="zh-CN"/>
        </w:rPr>
        <w:t>按照国家计委（现国家发改委）发布的《招标代理服务收费管理暂行办法》（计价格〔2002〕1980号），由</w:t>
      </w:r>
      <w:r>
        <w:rPr>
          <w:rFonts w:hint="eastAsia" w:ascii="宋体" w:hAnsi="宋体" w:eastAsia="宋体" w:cs="Times New Roman"/>
          <w:szCs w:val="24"/>
          <w:lang w:val="en-US" w:eastAsia="zh-CN"/>
        </w:rPr>
        <w:t>参选人</w:t>
      </w:r>
      <w:r>
        <w:rPr>
          <w:rFonts w:hint="default" w:ascii="宋体" w:hAnsi="宋体" w:eastAsia="宋体" w:cs="Times New Roman"/>
          <w:szCs w:val="24"/>
          <w:lang w:val="en-US" w:eastAsia="zh-CN"/>
        </w:rPr>
        <w:t>在规定费率基数上报下浮百分率，折扣率最高的，成为本次入选的采购代理机构</w:t>
      </w:r>
      <w:r>
        <w:rPr>
          <w:rFonts w:hint="eastAsia" w:ascii="宋体" w:hAnsi="宋体" w:eastAsia="宋体" w:cs="Times New Roman"/>
          <w:szCs w:val="24"/>
          <w:lang w:val="en-US" w:eastAsia="zh-CN"/>
        </w:rPr>
        <w:t>，若第一轮报价相同的，则启动第二轮报价，直至评选出最终入选机构。</w:t>
      </w:r>
    </w:p>
    <w:p>
      <w:pPr>
        <w:pStyle w:val="5"/>
        <w:ind w:firstLine="480" w:firstLineChars="200"/>
        <w:jc w:val="left"/>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5.2采购代理服务费兜底价不得超出5000元。</w:t>
      </w:r>
    </w:p>
    <w:p>
      <w:pPr>
        <w:pStyle w:val="5"/>
        <w:ind w:firstLine="480" w:firstLineChars="200"/>
        <w:jc w:val="left"/>
        <w:rPr>
          <w:rFonts w:hint="eastAsia" w:ascii="宋体" w:hAnsi="宋体"/>
          <w:sz w:val="24"/>
          <w:szCs w:val="24"/>
        </w:rPr>
      </w:pPr>
      <w:r>
        <w:rPr>
          <w:rFonts w:hint="eastAsia" w:ascii="宋体" w:hAnsi="宋体" w:eastAsia="宋体" w:cs="Times New Roman"/>
          <w:szCs w:val="24"/>
          <w:lang w:val="en-US" w:eastAsia="zh-CN"/>
        </w:rPr>
        <w:t>5.3 采购代理服务费向中标/成交企业收取，评标委员会专家费由采购人支付。</w:t>
      </w:r>
      <w:r>
        <w:rPr>
          <w:rFonts w:hint="eastAsia" w:ascii="宋体" w:hAnsi="宋体" w:eastAsia="宋体" w:cs="Times New Roman"/>
          <w:szCs w:val="24"/>
        </w:rPr>
        <w:br w:type="textWrapping"/>
      </w:r>
    </w:p>
    <w:p>
      <w:pPr>
        <w:spacing w:line="360" w:lineRule="auto"/>
        <w:ind w:firstLine="480" w:firstLineChars="200"/>
        <w:jc w:val="left"/>
        <w:rPr>
          <w:rFonts w:hint="eastAsia" w:ascii="宋体" w:hAnsi="宋体"/>
          <w:sz w:val="24"/>
          <w:szCs w:val="24"/>
        </w:rPr>
      </w:pPr>
    </w:p>
    <w:p>
      <w:pPr>
        <w:pStyle w:val="2"/>
        <w:spacing w:before="0" w:after="0" w:line="360" w:lineRule="auto"/>
        <w:jc w:val="center"/>
        <w:rPr>
          <w:rFonts w:hint="eastAsia" w:ascii="宋体" w:hAnsi="宋体" w:eastAsia="宋体"/>
          <w:sz w:val="28"/>
          <w:szCs w:val="28"/>
        </w:rPr>
      </w:pPr>
      <w:r>
        <w:rPr>
          <w:rFonts w:hint="eastAsia" w:ascii="宋体" w:hAnsi="宋体" w:eastAsia="宋体"/>
          <w:sz w:val="24"/>
          <w:szCs w:val="24"/>
        </w:rPr>
        <w:br w:type="page"/>
      </w:r>
      <w:bookmarkStart w:id="4" w:name="_Toc14261"/>
      <w:bookmarkStart w:id="5" w:name="_Toc13299"/>
      <w:r>
        <w:rPr>
          <w:rFonts w:hint="eastAsia"/>
          <w:b w:val="0"/>
          <w:sz w:val="28"/>
          <w:szCs w:val="28"/>
        </w:rPr>
        <w:t>第</w:t>
      </w:r>
      <w:r>
        <w:rPr>
          <w:rFonts w:hint="eastAsia"/>
          <w:b w:val="0"/>
          <w:sz w:val="28"/>
          <w:szCs w:val="28"/>
          <w:lang w:val="en-US" w:eastAsia="zh-CN"/>
        </w:rPr>
        <w:t>二</w:t>
      </w:r>
      <w:r>
        <w:rPr>
          <w:rFonts w:hint="eastAsia"/>
          <w:b w:val="0"/>
          <w:sz w:val="28"/>
          <w:szCs w:val="28"/>
        </w:rPr>
        <w:t xml:space="preserve">章 </w:t>
      </w:r>
      <w:r>
        <w:rPr>
          <w:b w:val="0"/>
          <w:sz w:val="28"/>
          <w:szCs w:val="28"/>
        </w:rPr>
        <w:t xml:space="preserve"> </w:t>
      </w:r>
      <w:r>
        <w:rPr>
          <w:rFonts w:hint="eastAsia"/>
          <w:b w:val="0"/>
          <w:sz w:val="28"/>
          <w:szCs w:val="28"/>
        </w:rPr>
        <w:t>参选文件及资料格式</w:t>
      </w:r>
      <w:bookmarkEnd w:id="4"/>
      <w:bookmarkEnd w:id="5"/>
    </w:p>
    <w:p>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adjustRightInd w:val="0"/>
        <w:snapToGrid w:val="0"/>
        <w:spacing w:line="360" w:lineRule="auto"/>
        <w:jc w:val="left"/>
        <w:rPr>
          <w:rFonts w:hint="eastAsia" w:ascii="宋体" w:hAnsi="宋体"/>
          <w:b/>
          <w:sz w:val="24"/>
          <w:szCs w:val="24"/>
        </w:rPr>
      </w:pPr>
      <w:r>
        <w:rPr>
          <w:rFonts w:hint="eastAsia" w:ascii="宋体" w:hAnsi="宋体"/>
          <w:b/>
          <w:sz w:val="24"/>
          <w:szCs w:val="24"/>
        </w:rPr>
        <w:t>格式一：申 请 书</w:t>
      </w:r>
    </w:p>
    <w:p>
      <w:pPr>
        <w:pStyle w:val="13"/>
        <w:adjustRightInd w:val="0"/>
        <w:snapToGrid w:val="0"/>
        <w:spacing w:line="360" w:lineRule="auto"/>
        <w:ind w:firstLine="482" w:firstLineChars="200"/>
        <w:jc w:val="left"/>
        <w:outlineLvl w:val="9"/>
        <w:rPr>
          <w:rFonts w:hint="eastAsia" w:hAnsi="宋体"/>
          <w:b/>
          <w:sz w:val="24"/>
          <w:szCs w:val="24"/>
        </w:rPr>
      </w:pPr>
    </w:p>
    <w:p>
      <w:pPr>
        <w:pStyle w:val="13"/>
        <w:adjustRightInd w:val="0"/>
        <w:snapToGrid w:val="0"/>
        <w:spacing w:line="360" w:lineRule="auto"/>
        <w:ind w:firstLine="482" w:firstLineChars="200"/>
        <w:jc w:val="left"/>
        <w:outlineLvl w:val="9"/>
        <w:rPr>
          <w:rFonts w:hint="eastAsia" w:hAnsi="宋体"/>
          <w:sz w:val="24"/>
          <w:szCs w:val="24"/>
          <w:u w:val="single"/>
        </w:rPr>
      </w:pPr>
      <w:bookmarkStart w:id="6" w:name="_Toc7014"/>
      <w:bookmarkStart w:id="7" w:name="_Toc1724"/>
      <w:r>
        <w:rPr>
          <w:rFonts w:hint="eastAsia" w:hAnsi="宋体"/>
          <w:b/>
          <w:sz w:val="24"/>
          <w:szCs w:val="24"/>
        </w:rPr>
        <w:t>致：</w:t>
      </w:r>
      <w:bookmarkEnd w:id="6"/>
      <w:bookmarkEnd w:id="7"/>
      <w:r>
        <w:rPr>
          <w:rFonts w:hint="eastAsia" w:hAnsi="宋体"/>
          <w:sz w:val="24"/>
          <w:szCs w:val="24"/>
          <w:u w:val="single"/>
        </w:rPr>
        <w:t xml:space="preserve">                       </w:t>
      </w:r>
    </w:p>
    <w:p>
      <w:pPr>
        <w:pStyle w:val="13"/>
        <w:adjustRightInd w:val="0"/>
        <w:snapToGrid w:val="0"/>
        <w:spacing w:line="360" w:lineRule="auto"/>
        <w:ind w:firstLine="480" w:firstLineChars="200"/>
        <w:jc w:val="left"/>
        <w:outlineLvl w:val="9"/>
        <w:rPr>
          <w:rFonts w:hint="eastAsia" w:hAnsi="宋体"/>
          <w:sz w:val="24"/>
          <w:szCs w:val="24"/>
        </w:rPr>
      </w:pPr>
      <w:bookmarkStart w:id="8" w:name="_Toc28052"/>
      <w:bookmarkStart w:id="9" w:name="_Toc24115"/>
      <w:r>
        <w:rPr>
          <w:rFonts w:hint="eastAsia" w:hAnsi="宋体"/>
          <w:sz w:val="24"/>
          <w:szCs w:val="24"/>
        </w:rPr>
        <w:t>根据贵方关于</w:t>
      </w:r>
      <w:r>
        <w:rPr>
          <w:rFonts w:hint="eastAsia" w:hAnsi="宋体"/>
          <w:sz w:val="24"/>
          <w:szCs w:val="24"/>
          <w:u w:val="single"/>
        </w:rPr>
        <w:t xml:space="preserve">  （项目名称）  </w:t>
      </w:r>
      <w:r>
        <w:rPr>
          <w:rFonts w:hint="eastAsia" w:hAnsi="宋体"/>
          <w:sz w:val="24"/>
          <w:szCs w:val="24"/>
        </w:rPr>
        <w:t>的资格比选邀请书，我方正式提出申请参加</w:t>
      </w:r>
      <w:r>
        <w:rPr>
          <w:rFonts w:hint="eastAsia" w:hAnsi="宋体"/>
          <w:sz w:val="24"/>
          <w:szCs w:val="24"/>
          <w:u w:val="single"/>
        </w:rPr>
        <w:t xml:space="preserve">                                                       采购代理机构</w:t>
      </w:r>
      <w:r>
        <w:rPr>
          <w:rFonts w:hint="eastAsia" w:hAnsi="宋体"/>
          <w:sz w:val="24"/>
          <w:szCs w:val="24"/>
        </w:rPr>
        <w:t>资格比选。签字代表（</w:t>
      </w:r>
      <w:r>
        <w:rPr>
          <w:rFonts w:hint="eastAsia" w:hAnsi="宋体"/>
          <w:sz w:val="24"/>
          <w:szCs w:val="24"/>
          <w:u w:val="single"/>
        </w:rPr>
        <w:t xml:space="preserve"> 姓名、职务 </w:t>
      </w:r>
      <w:r>
        <w:rPr>
          <w:rFonts w:hint="eastAsia" w:hAnsi="宋体"/>
          <w:sz w:val="24"/>
          <w:szCs w:val="24"/>
        </w:rPr>
        <w:t>）经正式授权并代表参选人（</w:t>
      </w:r>
      <w:r>
        <w:rPr>
          <w:rFonts w:hint="eastAsia" w:hAnsi="宋体"/>
          <w:sz w:val="24"/>
          <w:szCs w:val="24"/>
          <w:u w:val="single"/>
        </w:rPr>
        <w:t>参选人名称</w:t>
      </w:r>
      <w:r>
        <w:rPr>
          <w:rFonts w:hint="eastAsia" w:hAnsi="宋体"/>
          <w:sz w:val="24"/>
          <w:szCs w:val="24"/>
        </w:rPr>
        <w:t>）提交下述文件正本一份及副本三份：</w:t>
      </w:r>
      <w:bookmarkEnd w:id="8"/>
      <w:bookmarkEnd w:id="9"/>
    </w:p>
    <w:p>
      <w:pPr>
        <w:pStyle w:val="13"/>
        <w:adjustRightInd w:val="0"/>
        <w:snapToGrid w:val="0"/>
        <w:spacing w:line="360" w:lineRule="auto"/>
        <w:ind w:firstLine="480" w:firstLineChars="200"/>
        <w:jc w:val="left"/>
        <w:outlineLvl w:val="9"/>
        <w:rPr>
          <w:rFonts w:hint="eastAsia" w:hAnsi="宋体"/>
          <w:sz w:val="24"/>
          <w:szCs w:val="24"/>
        </w:rPr>
      </w:pPr>
      <w:bookmarkStart w:id="10" w:name="_Toc23460"/>
      <w:bookmarkStart w:id="11" w:name="_Toc4769"/>
      <w:r>
        <w:rPr>
          <w:rFonts w:hint="eastAsia" w:hAnsi="宋体"/>
          <w:sz w:val="24"/>
          <w:szCs w:val="24"/>
        </w:rPr>
        <w:t>……（资料目录）</w:t>
      </w:r>
      <w:bookmarkEnd w:id="10"/>
      <w:bookmarkEnd w:id="11"/>
    </w:p>
    <w:p>
      <w:pPr>
        <w:pStyle w:val="13"/>
        <w:adjustRightInd w:val="0"/>
        <w:snapToGrid w:val="0"/>
        <w:spacing w:line="360" w:lineRule="auto"/>
        <w:ind w:firstLine="480" w:firstLineChars="200"/>
        <w:jc w:val="left"/>
        <w:outlineLvl w:val="9"/>
        <w:rPr>
          <w:rFonts w:hint="eastAsia" w:hAnsi="宋体"/>
          <w:sz w:val="24"/>
          <w:szCs w:val="24"/>
        </w:rPr>
      </w:pPr>
      <w:bookmarkStart w:id="12" w:name="_Toc27532"/>
      <w:bookmarkStart w:id="13" w:name="_Toc10520"/>
      <w:r>
        <w:rPr>
          <w:rFonts w:hint="eastAsia" w:hAnsi="宋体"/>
          <w:sz w:val="24"/>
          <w:szCs w:val="24"/>
        </w:rPr>
        <w:t>我方声明：我们所递交的全部资料是完全真实和准确的，并愿为此而承担相关法律责任。</w:t>
      </w:r>
      <w:bookmarkEnd w:id="12"/>
      <w:bookmarkEnd w:id="13"/>
    </w:p>
    <w:p>
      <w:pPr>
        <w:pStyle w:val="13"/>
        <w:adjustRightInd w:val="0"/>
        <w:snapToGrid w:val="0"/>
        <w:spacing w:line="360" w:lineRule="auto"/>
        <w:ind w:firstLine="480" w:firstLineChars="200"/>
        <w:jc w:val="left"/>
        <w:outlineLvl w:val="9"/>
        <w:rPr>
          <w:rFonts w:hint="eastAsia" w:hAnsi="宋体"/>
          <w:sz w:val="24"/>
          <w:szCs w:val="24"/>
        </w:rPr>
      </w:pPr>
      <w:bookmarkStart w:id="14" w:name="_Toc15232"/>
      <w:bookmarkStart w:id="15" w:name="_Toc30745"/>
      <w:r>
        <w:rPr>
          <w:rFonts w:hint="eastAsia" w:hAnsi="宋体"/>
          <w:sz w:val="24"/>
          <w:szCs w:val="24"/>
        </w:rPr>
        <w:t>按资格比选文件的要求，你方授权代表可调查、审核我方提交的与本参选文件相关的声明、文件和资料，并通过我方的开户银行和客户，澄清本参选文件中有关财务和技术方面的问题。本参选文件还将授权给有关的任何个人或机构及其授权代表，按你方的要求，提供必要的相关资料以核实本参选文件中提交的或与本参选人的资金来源、经验和能力有关的声明和资料。</w:t>
      </w:r>
      <w:bookmarkEnd w:id="14"/>
      <w:bookmarkEnd w:id="15"/>
    </w:p>
    <w:p>
      <w:pPr>
        <w:pStyle w:val="13"/>
        <w:adjustRightInd w:val="0"/>
        <w:snapToGrid w:val="0"/>
        <w:spacing w:line="360" w:lineRule="auto"/>
        <w:ind w:firstLine="480" w:firstLineChars="200"/>
        <w:jc w:val="left"/>
        <w:outlineLvl w:val="9"/>
        <w:rPr>
          <w:rFonts w:hint="eastAsia" w:hAnsi="宋体"/>
          <w:sz w:val="24"/>
          <w:szCs w:val="24"/>
        </w:rPr>
      </w:pPr>
      <w:bookmarkStart w:id="16" w:name="_Toc24244"/>
      <w:bookmarkStart w:id="17" w:name="_Toc3827"/>
      <w:r>
        <w:rPr>
          <w:rFonts w:hint="eastAsia" w:hAnsi="宋体"/>
          <w:sz w:val="24"/>
          <w:szCs w:val="24"/>
        </w:rPr>
        <w:t>我方已详细审查全部资格比选文件，以及全部参考资料和有关附件，我方完全理解并同意放弃对这方面有不明及误解的权力。</w:t>
      </w:r>
      <w:bookmarkEnd w:id="16"/>
      <w:bookmarkEnd w:id="17"/>
    </w:p>
    <w:p>
      <w:pPr>
        <w:pStyle w:val="13"/>
        <w:adjustRightInd w:val="0"/>
        <w:snapToGrid w:val="0"/>
        <w:spacing w:line="360" w:lineRule="auto"/>
        <w:ind w:firstLine="480" w:firstLineChars="200"/>
        <w:jc w:val="left"/>
        <w:outlineLvl w:val="9"/>
        <w:rPr>
          <w:rFonts w:hint="eastAsia" w:hAnsi="宋体"/>
          <w:sz w:val="24"/>
          <w:szCs w:val="24"/>
        </w:rPr>
      </w:pPr>
      <w:bookmarkStart w:id="18" w:name="_Toc17355"/>
      <w:bookmarkStart w:id="19" w:name="_Toc20361"/>
      <w:r>
        <w:rPr>
          <w:rFonts w:hint="eastAsia" w:hAnsi="宋体"/>
          <w:sz w:val="24"/>
          <w:szCs w:val="24"/>
        </w:rPr>
        <w:t>如需要我方提供进一步的资料，请以下列方式联系：</w:t>
      </w:r>
      <w:bookmarkEnd w:id="18"/>
      <w:bookmarkEnd w:id="19"/>
    </w:p>
    <w:p>
      <w:pPr>
        <w:pStyle w:val="13"/>
        <w:adjustRightInd w:val="0"/>
        <w:snapToGrid w:val="0"/>
        <w:spacing w:line="360" w:lineRule="auto"/>
        <w:ind w:firstLine="480" w:firstLineChars="200"/>
        <w:jc w:val="left"/>
        <w:outlineLvl w:val="9"/>
        <w:rPr>
          <w:rFonts w:hint="eastAsia" w:hAnsi="宋体"/>
          <w:sz w:val="24"/>
          <w:szCs w:val="24"/>
        </w:rPr>
      </w:pPr>
      <w:bookmarkStart w:id="20" w:name="_Toc27164"/>
      <w:bookmarkStart w:id="21" w:name="_Toc29386"/>
      <w:r>
        <w:rPr>
          <w:rFonts w:hint="eastAsia" w:hAnsi="宋体"/>
          <w:sz w:val="24"/>
          <w:szCs w:val="24"/>
        </w:rPr>
        <w:t>联系人：</w:t>
      </w:r>
      <w:bookmarkEnd w:id="20"/>
      <w:bookmarkEnd w:id="21"/>
    </w:p>
    <w:p>
      <w:pPr>
        <w:pStyle w:val="13"/>
        <w:adjustRightInd w:val="0"/>
        <w:snapToGrid w:val="0"/>
        <w:spacing w:line="360" w:lineRule="auto"/>
        <w:ind w:firstLine="480" w:firstLineChars="200"/>
        <w:jc w:val="left"/>
        <w:outlineLvl w:val="9"/>
        <w:rPr>
          <w:rFonts w:hint="eastAsia" w:hAnsi="宋体"/>
          <w:sz w:val="24"/>
          <w:szCs w:val="24"/>
        </w:rPr>
      </w:pPr>
      <w:bookmarkStart w:id="22" w:name="_Toc29004"/>
      <w:bookmarkStart w:id="23" w:name="_Toc15542"/>
      <w:r>
        <w:rPr>
          <w:rFonts w:hint="eastAsia" w:hAnsi="宋体"/>
          <w:sz w:val="24"/>
          <w:szCs w:val="24"/>
        </w:rPr>
        <w:t>职务：</w:t>
      </w:r>
      <w:bookmarkEnd w:id="22"/>
      <w:bookmarkEnd w:id="23"/>
    </w:p>
    <w:p>
      <w:pPr>
        <w:pStyle w:val="13"/>
        <w:adjustRightInd w:val="0"/>
        <w:snapToGrid w:val="0"/>
        <w:spacing w:line="360" w:lineRule="auto"/>
        <w:ind w:firstLine="480" w:firstLineChars="200"/>
        <w:jc w:val="left"/>
        <w:outlineLvl w:val="9"/>
        <w:rPr>
          <w:rFonts w:hint="eastAsia" w:hAnsi="宋体"/>
          <w:sz w:val="24"/>
          <w:szCs w:val="24"/>
        </w:rPr>
      </w:pPr>
      <w:bookmarkStart w:id="24" w:name="_Toc21321"/>
      <w:bookmarkStart w:id="25" w:name="_Toc17688"/>
      <w:r>
        <w:rPr>
          <w:rFonts w:hint="eastAsia" w:hAnsi="宋体"/>
          <w:sz w:val="24"/>
          <w:szCs w:val="24"/>
        </w:rPr>
        <w:t>地址：</w:t>
      </w:r>
      <w:bookmarkEnd w:id="24"/>
      <w:bookmarkEnd w:id="25"/>
    </w:p>
    <w:p>
      <w:pPr>
        <w:pStyle w:val="13"/>
        <w:adjustRightInd w:val="0"/>
        <w:snapToGrid w:val="0"/>
        <w:spacing w:line="360" w:lineRule="auto"/>
        <w:ind w:firstLine="480" w:firstLineChars="200"/>
        <w:jc w:val="left"/>
        <w:outlineLvl w:val="9"/>
        <w:rPr>
          <w:rFonts w:hint="eastAsia" w:hAnsi="宋体"/>
          <w:sz w:val="24"/>
          <w:szCs w:val="24"/>
        </w:rPr>
      </w:pPr>
      <w:bookmarkStart w:id="26" w:name="_Toc13811"/>
      <w:bookmarkStart w:id="27" w:name="_Toc21719"/>
      <w:r>
        <w:rPr>
          <w:rFonts w:hint="eastAsia" w:hAnsi="宋体"/>
          <w:sz w:val="24"/>
          <w:szCs w:val="24"/>
        </w:rPr>
        <w:t>电话：</w:t>
      </w:r>
      <w:bookmarkEnd w:id="26"/>
      <w:bookmarkEnd w:id="27"/>
    </w:p>
    <w:p>
      <w:pPr>
        <w:pStyle w:val="13"/>
        <w:adjustRightInd w:val="0"/>
        <w:snapToGrid w:val="0"/>
        <w:spacing w:line="360" w:lineRule="auto"/>
        <w:ind w:firstLine="480" w:firstLineChars="200"/>
        <w:jc w:val="left"/>
        <w:outlineLvl w:val="9"/>
        <w:rPr>
          <w:rFonts w:hint="eastAsia" w:hAnsi="宋体"/>
          <w:sz w:val="24"/>
          <w:szCs w:val="24"/>
        </w:rPr>
      </w:pPr>
      <w:bookmarkStart w:id="28" w:name="_Toc28426"/>
      <w:bookmarkStart w:id="29" w:name="_Toc20491"/>
      <w:r>
        <w:rPr>
          <w:rFonts w:hint="eastAsia" w:hAnsi="宋体"/>
          <w:sz w:val="24"/>
          <w:szCs w:val="24"/>
        </w:rPr>
        <w:t>参选人（盖公章）：</w:t>
      </w:r>
      <w:bookmarkEnd w:id="28"/>
      <w:bookmarkEnd w:id="29"/>
    </w:p>
    <w:p>
      <w:pPr>
        <w:pStyle w:val="13"/>
        <w:adjustRightInd w:val="0"/>
        <w:snapToGrid w:val="0"/>
        <w:spacing w:line="360" w:lineRule="auto"/>
        <w:ind w:firstLine="480" w:firstLineChars="200"/>
        <w:jc w:val="right"/>
        <w:outlineLvl w:val="9"/>
        <w:rPr>
          <w:rFonts w:hint="eastAsia" w:hAnsi="宋体"/>
          <w:sz w:val="24"/>
          <w:szCs w:val="24"/>
        </w:rPr>
      </w:pPr>
    </w:p>
    <w:p>
      <w:pPr>
        <w:pStyle w:val="13"/>
        <w:adjustRightInd w:val="0"/>
        <w:snapToGrid w:val="0"/>
        <w:spacing w:line="360" w:lineRule="auto"/>
        <w:ind w:firstLine="480" w:firstLineChars="200"/>
        <w:jc w:val="right"/>
        <w:outlineLvl w:val="9"/>
        <w:rPr>
          <w:rFonts w:hint="eastAsia" w:hAnsi="宋体"/>
          <w:sz w:val="24"/>
          <w:szCs w:val="24"/>
        </w:rPr>
      </w:pPr>
      <w:bookmarkStart w:id="30" w:name="_Toc17293"/>
      <w:bookmarkStart w:id="31" w:name="_Toc23483"/>
      <w:r>
        <w:rPr>
          <w:rFonts w:hint="eastAsia" w:hAnsi="宋体"/>
          <w:sz w:val="24"/>
          <w:szCs w:val="24"/>
        </w:rPr>
        <w:t>法定代表人或授权代表签字或盖章：</w:t>
      </w:r>
      <w:bookmarkEnd w:id="30"/>
      <w:bookmarkEnd w:id="31"/>
    </w:p>
    <w:p>
      <w:pPr>
        <w:pStyle w:val="13"/>
        <w:adjustRightInd w:val="0"/>
        <w:snapToGrid w:val="0"/>
        <w:spacing w:line="360" w:lineRule="auto"/>
        <w:ind w:firstLine="480" w:firstLineChars="200"/>
        <w:jc w:val="right"/>
        <w:outlineLvl w:val="9"/>
        <w:rPr>
          <w:rFonts w:hint="eastAsia" w:hAnsi="宋体"/>
          <w:sz w:val="24"/>
          <w:szCs w:val="24"/>
        </w:rPr>
      </w:pPr>
    </w:p>
    <w:p>
      <w:pPr>
        <w:pStyle w:val="13"/>
        <w:adjustRightInd w:val="0"/>
        <w:snapToGrid w:val="0"/>
        <w:spacing w:line="360" w:lineRule="auto"/>
        <w:ind w:firstLine="6480" w:firstLineChars="2700"/>
        <w:jc w:val="left"/>
        <w:outlineLvl w:val="9"/>
        <w:rPr>
          <w:rFonts w:hint="eastAsia" w:hAnsi="宋体"/>
          <w:b/>
          <w:sz w:val="24"/>
          <w:szCs w:val="24"/>
        </w:rPr>
      </w:pPr>
      <w:bookmarkStart w:id="32" w:name="_Toc2796"/>
      <w:bookmarkStart w:id="33" w:name="_Toc7585"/>
      <w:r>
        <w:rPr>
          <w:rFonts w:hint="eastAsia" w:hAnsi="宋体"/>
          <w:sz w:val="24"/>
          <w:szCs w:val="24"/>
        </w:rPr>
        <w:t>年   月   日</w:t>
      </w:r>
      <w:r>
        <w:rPr>
          <w:rFonts w:hint="eastAsia" w:hAnsi="宋体"/>
          <w:sz w:val="24"/>
          <w:szCs w:val="24"/>
        </w:rPr>
        <w:br w:type="page"/>
      </w:r>
      <w:r>
        <w:rPr>
          <w:rFonts w:hint="eastAsia" w:hAnsi="宋体"/>
          <w:b/>
          <w:sz w:val="24"/>
          <w:szCs w:val="24"/>
        </w:rPr>
        <w:t>格式二：法定代表人授权委托书</w:t>
      </w:r>
      <w:bookmarkEnd w:id="32"/>
      <w:bookmarkEnd w:id="33"/>
    </w:p>
    <w:p>
      <w:pPr>
        <w:pStyle w:val="13"/>
        <w:adjustRightInd w:val="0"/>
        <w:snapToGrid w:val="0"/>
        <w:spacing w:line="360" w:lineRule="auto"/>
        <w:ind w:firstLine="482" w:firstLineChars="200"/>
        <w:jc w:val="left"/>
        <w:outlineLvl w:val="9"/>
        <w:rPr>
          <w:rFonts w:hint="eastAsia" w:hAnsi="宋体"/>
          <w:b/>
          <w:sz w:val="24"/>
          <w:szCs w:val="24"/>
        </w:rPr>
      </w:pPr>
    </w:p>
    <w:p>
      <w:pPr>
        <w:pStyle w:val="13"/>
        <w:adjustRightInd w:val="0"/>
        <w:snapToGrid w:val="0"/>
        <w:spacing w:line="360" w:lineRule="auto"/>
        <w:jc w:val="left"/>
        <w:outlineLvl w:val="9"/>
        <w:rPr>
          <w:rFonts w:hint="eastAsia" w:hAnsi="宋体"/>
          <w:b/>
          <w:sz w:val="24"/>
          <w:szCs w:val="24"/>
        </w:rPr>
      </w:pPr>
    </w:p>
    <w:p>
      <w:pPr>
        <w:pStyle w:val="13"/>
        <w:adjustRightInd w:val="0"/>
        <w:snapToGrid w:val="0"/>
        <w:spacing w:line="360" w:lineRule="auto"/>
        <w:ind w:firstLine="480" w:firstLineChars="200"/>
        <w:jc w:val="left"/>
        <w:outlineLvl w:val="9"/>
        <w:rPr>
          <w:rFonts w:hint="eastAsia" w:hAnsi="宋体"/>
          <w:sz w:val="24"/>
          <w:szCs w:val="24"/>
        </w:rPr>
      </w:pPr>
      <w:bookmarkStart w:id="34" w:name="_Toc1469"/>
      <w:bookmarkStart w:id="35" w:name="_Toc9734"/>
      <w:r>
        <w:rPr>
          <w:rFonts w:hint="eastAsia" w:hAnsi="宋体"/>
          <w:sz w:val="24"/>
          <w:szCs w:val="24"/>
        </w:rPr>
        <w:t>本授权书声明：注册于</w:t>
      </w:r>
      <w:r>
        <w:rPr>
          <w:rFonts w:hint="eastAsia" w:hAnsi="宋体"/>
          <w:sz w:val="24"/>
          <w:szCs w:val="24"/>
          <w:u w:val="single"/>
        </w:rPr>
        <w:t xml:space="preserve">          （参选人地址）       </w:t>
      </w:r>
      <w:r>
        <w:rPr>
          <w:rFonts w:hint="eastAsia" w:hAnsi="宋体"/>
          <w:sz w:val="24"/>
          <w:szCs w:val="24"/>
        </w:rPr>
        <w:t>的</w:t>
      </w:r>
      <w:r>
        <w:rPr>
          <w:rFonts w:hint="eastAsia" w:hAnsi="宋体"/>
          <w:sz w:val="24"/>
          <w:szCs w:val="24"/>
          <w:u w:val="single"/>
        </w:rPr>
        <w:t xml:space="preserve">         （参选人名称）    </w:t>
      </w:r>
      <w:r>
        <w:rPr>
          <w:rFonts w:hint="eastAsia" w:hAnsi="宋体"/>
          <w:sz w:val="24"/>
          <w:szCs w:val="24"/>
        </w:rPr>
        <w:t>法定代表人</w:t>
      </w:r>
      <w:r>
        <w:rPr>
          <w:rFonts w:hint="eastAsia" w:hAnsi="宋体"/>
          <w:sz w:val="24"/>
          <w:szCs w:val="24"/>
          <w:u w:val="single"/>
        </w:rPr>
        <w:t xml:space="preserve">            （法定代表人姓名、职务）    </w:t>
      </w:r>
      <w:r>
        <w:rPr>
          <w:rFonts w:hint="eastAsia" w:hAnsi="宋体"/>
          <w:sz w:val="24"/>
          <w:szCs w:val="24"/>
        </w:rPr>
        <w:t>代表本公司授权在下面签字的</w:t>
      </w:r>
      <w:r>
        <w:rPr>
          <w:rFonts w:hint="eastAsia" w:hAnsi="宋体"/>
          <w:sz w:val="24"/>
          <w:szCs w:val="24"/>
          <w:u w:val="single"/>
        </w:rPr>
        <w:t xml:space="preserve">          （参选人授权代表姓名、职务）    </w:t>
      </w:r>
      <w:r>
        <w:rPr>
          <w:rFonts w:hint="eastAsia" w:hAnsi="宋体"/>
          <w:sz w:val="24"/>
          <w:szCs w:val="24"/>
        </w:rPr>
        <w:t>为本公司的合法代理人，就贵方组织的</w:t>
      </w:r>
      <w:r>
        <w:rPr>
          <w:rFonts w:hint="eastAsia" w:hAnsi="宋体"/>
          <w:sz w:val="24"/>
          <w:szCs w:val="24"/>
          <w:u w:val="single"/>
        </w:rPr>
        <w:t xml:space="preserve">                     </w:t>
      </w:r>
      <w:r>
        <w:rPr>
          <w:rFonts w:hint="eastAsia" w:hAnsi="宋体"/>
          <w:sz w:val="24"/>
          <w:szCs w:val="24"/>
        </w:rPr>
        <w:t>项目，以本公司名义处理一切与之有关的事务。</w:t>
      </w:r>
      <w:bookmarkEnd w:id="34"/>
      <w:bookmarkEnd w:id="35"/>
    </w:p>
    <w:p>
      <w:pPr>
        <w:pStyle w:val="13"/>
        <w:adjustRightInd w:val="0"/>
        <w:snapToGrid w:val="0"/>
        <w:spacing w:line="360" w:lineRule="auto"/>
        <w:ind w:firstLine="480" w:firstLineChars="200"/>
        <w:jc w:val="left"/>
        <w:outlineLvl w:val="9"/>
        <w:rPr>
          <w:rFonts w:hint="eastAsia" w:hAnsi="宋体"/>
          <w:sz w:val="24"/>
          <w:szCs w:val="24"/>
        </w:rPr>
      </w:pPr>
      <w:bookmarkStart w:id="36" w:name="_Toc15459"/>
      <w:bookmarkStart w:id="37" w:name="_Toc13009"/>
      <w:r>
        <w:rPr>
          <w:rFonts w:hint="eastAsia" w:hAnsi="宋体"/>
          <w:sz w:val="24"/>
          <w:szCs w:val="24"/>
        </w:rPr>
        <w:t>本授权书于</w:t>
      </w:r>
      <w:r>
        <w:rPr>
          <w:rFonts w:hint="eastAsia" w:hAnsi="宋体"/>
          <w:sz w:val="24"/>
          <w:szCs w:val="24"/>
          <w:u w:val="single"/>
        </w:rPr>
        <w:t xml:space="preserve">      年   月   日</w:t>
      </w:r>
      <w:r>
        <w:rPr>
          <w:rFonts w:hint="eastAsia" w:hAnsi="宋体"/>
          <w:sz w:val="24"/>
          <w:szCs w:val="24"/>
        </w:rPr>
        <w:t>签字生效，特此声明。</w:t>
      </w:r>
      <w:bookmarkEnd w:id="36"/>
      <w:bookmarkEnd w:id="37"/>
    </w:p>
    <w:p>
      <w:pPr>
        <w:pStyle w:val="13"/>
        <w:adjustRightInd w:val="0"/>
        <w:snapToGrid w:val="0"/>
        <w:spacing w:line="360" w:lineRule="auto"/>
        <w:ind w:firstLine="480" w:firstLineChars="200"/>
        <w:jc w:val="left"/>
        <w:outlineLvl w:val="9"/>
        <w:rPr>
          <w:rFonts w:hint="eastAsia" w:hAnsi="宋体"/>
          <w:sz w:val="24"/>
          <w:szCs w:val="24"/>
        </w:rPr>
      </w:pPr>
    </w:p>
    <w:p>
      <w:pPr>
        <w:pStyle w:val="13"/>
        <w:adjustRightInd w:val="0"/>
        <w:snapToGrid w:val="0"/>
        <w:spacing w:line="360" w:lineRule="auto"/>
        <w:ind w:firstLine="480" w:firstLineChars="200"/>
        <w:jc w:val="left"/>
        <w:outlineLvl w:val="9"/>
        <w:rPr>
          <w:rFonts w:hint="eastAsia" w:hAnsi="宋体"/>
          <w:sz w:val="24"/>
          <w:szCs w:val="24"/>
          <w:u w:val="single"/>
        </w:rPr>
      </w:pPr>
      <w:bookmarkStart w:id="38" w:name="_Toc23869"/>
      <w:bookmarkStart w:id="39" w:name="_Toc25095"/>
      <w:r>
        <w:rPr>
          <w:rFonts w:hint="eastAsia" w:hAnsi="宋体"/>
          <w:sz w:val="24"/>
          <w:szCs w:val="24"/>
        </w:rPr>
        <w:t>法定代表人签字或盖章：</w:t>
      </w:r>
      <w:bookmarkEnd w:id="38"/>
      <w:bookmarkEnd w:id="39"/>
      <w:r>
        <w:rPr>
          <w:rFonts w:hint="eastAsia" w:hAnsi="宋体"/>
          <w:sz w:val="24"/>
          <w:szCs w:val="24"/>
          <w:u w:val="single"/>
        </w:rPr>
        <w:t xml:space="preserve">                               </w:t>
      </w:r>
    </w:p>
    <w:p>
      <w:pPr>
        <w:pStyle w:val="13"/>
        <w:adjustRightInd w:val="0"/>
        <w:snapToGrid w:val="0"/>
        <w:spacing w:line="360" w:lineRule="auto"/>
        <w:ind w:firstLine="480" w:firstLineChars="200"/>
        <w:jc w:val="left"/>
        <w:outlineLvl w:val="9"/>
        <w:rPr>
          <w:rFonts w:hint="eastAsia" w:hAnsi="宋体"/>
          <w:sz w:val="24"/>
          <w:szCs w:val="24"/>
        </w:rPr>
      </w:pPr>
    </w:p>
    <w:p>
      <w:pPr>
        <w:pStyle w:val="13"/>
        <w:adjustRightInd w:val="0"/>
        <w:snapToGrid w:val="0"/>
        <w:spacing w:line="360" w:lineRule="auto"/>
        <w:ind w:firstLine="480" w:firstLineChars="200"/>
        <w:jc w:val="left"/>
        <w:outlineLvl w:val="9"/>
        <w:rPr>
          <w:rFonts w:hint="eastAsia" w:hAnsi="宋体"/>
          <w:sz w:val="24"/>
          <w:szCs w:val="24"/>
        </w:rPr>
      </w:pPr>
      <w:bookmarkStart w:id="40" w:name="_Toc15615"/>
      <w:bookmarkStart w:id="41" w:name="_Toc15881"/>
      <w:r>
        <w:rPr>
          <w:rFonts w:hint="eastAsia" w:hAnsi="宋体"/>
          <w:sz w:val="24"/>
          <w:szCs w:val="24"/>
        </w:rPr>
        <w:t>授权代表签字或盖章：</w:t>
      </w:r>
      <w:bookmarkEnd w:id="40"/>
      <w:bookmarkEnd w:id="41"/>
      <w:r>
        <w:rPr>
          <w:rFonts w:hint="eastAsia" w:hAnsi="宋体"/>
          <w:sz w:val="24"/>
          <w:szCs w:val="24"/>
          <w:u w:val="single"/>
        </w:rPr>
        <w:t xml:space="preserve">                                </w:t>
      </w:r>
    </w:p>
    <w:p>
      <w:pPr>
        <w:pStyle w:val="13"/>
        <w:adjustRightInd w:val="0"/>
        <w:snapToGrid w:val="0"/>
        <w:spacing w:line="360" w:lineRule="auto"/>
        <w:ind w:firstLine="480" w:firstLineChars="200"/>
        <w:jc w:val="left"/>
        <w:outlineLvl w:val="9"/>
        <w:rPr>
          <w:rFonts w:hint="eastAsia" w:hAnsi="宋体"/>
          <w:sz w:val="24"/>
          <w:szCs w:val="24"/>
        </w:rPr>
      </w:pPr>
    </w:p>
    <w:p>
      <w:pPr>
        <w:pStyle w:val="13"/>
        <w:adjustRightInd w:val="0"/>
        <w:snapToGrid w:val="0"/>
        <w:spacing w:line="360" w:lineRule="auto"/>
        <w:ind w:firstLine="480" w:firstLineChars="200"/>
        <w:jc w:val="left"/>
        <w:outlineLvl w:val="9"/>
        <w:rPr>
          <w:rFonts w:hint="eastAsia" w:hAnsi="宋体"/>
          <w:sz w:val="24"/>
          <w:szCs w:val="24"/>
        </w:rPr>
      </w:pPr>
      <w:bookmarkStart w:id="42" w:name="_Toc17416"/>
      <w:bookmarkStart w:id="43" w:name="_Toc3708"/>
      <w:r>
        <w:rPr>
          <w:rFonts w:hint="eastAsia" w:hAnsi="宋体"/>
          <w:sz w:val="24"/>
          <w:szCs w:val="24"/>
        </w:rPr>
        <w:t>参选人全称（公章）：</w:t>
      </w:r>
      <w:bookmarkEnd w:id="42"/>
      <w:bookmarkEnd w:id="43"/>
      <w:r>
        <w:rPr>
          <w:rFonts w:hint="eastAsia" w:hAnsi="宋体"/>
          <w:sz w:val="24"/>
          <w:szCs w:val="24"/>
          <w:u w:val="single"/>
        </w:rPr>
        <w:t xml:space="preserve">                               </w:t>
      </w:r>
    </w:p>
    <w:p>
      <w:pPr>
        <w:pStyle w:val="13"/>
        <w:adjustRightInd w:val="0"/>
        <w:snapToGrid w:val="0"/>
        <w:spacing w:line="360" w:lineRule="auto"/>
        <w:jc w:val="left"/>
        <w:outlineLvl w:val="9"/>
        <w:rPr>
          <w:rFonts w:hint="eastAsia" w:hAnsi="宋体"/>
          <w:sz w:val="24"/>
          <w:szCs w:val="24"/>
        </w:rPr>
      </w:pPr>
    </w:p>
    <w:p>
      <w:pPr>
        <w:pStyle w:val="13"/>
        <w:adjustRightInd w:val="0"/>
        <w:snapToGrid w:val="0"/>
        <w:spacing w:line="360" w:lineRule="auto"/>
        <w:jc w:val="left"/>
        <w:outlineLvl w:val="9"/>
        <w:rPr>
          <w:rFonts w:hint="eastAsia" w:hAnsi="宋体"/>
          <w:b/>
          <w:bCs/>
          <w:sz w:val="24"/>
          <w:szCs w:val="24"/>
        </w:rPr>
      </w:pPr>
      <w:r>
        <w:rPr>
          <w:rFonts w:hint="eastAsia" w:hAnsi="宋体"/>
          <w:sz w:val="24"/>
          <w:szCs w:val="24"/>
        </w:rPr>
        <w:br w:type="page"/>
      </w:r>
      <w:bookmarkStart w:id="44" w:name="_Toc24137"/>
      <w:bookmarkStart w:id="45" w:name="_Toc8597"/>
      <w:r>
        <w:rPr>
          <w:rFonts w:hint="eastAsia" w:hAnsi="宋体"/>
          <w:b/>
          <w:bCs/>
          <w:sz w:val="24"/>
          <w:szCs w:val="24"/>
        </w:rPr>
        <w:t>格式三：公司简介</w:t>
      </w:r>
      <w:bookmarkEnd w:id="44"/>
      <w:bookmarkEnd w:id="45"/>
    </w:p>
    <w:tbl>
      <w:tblPr>
        <w:tblStyle w:val="10"/>
        <w:tblW w:w="5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3316"/>
        <w:gridCol w:w="226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br w:type="page"/>
            </w:r>
            <w:r>
              <w:rPr>
                <w:rFonts w:hint="eastAsia" w:ascii="宋体" w:hAnsi="宋体"/>
                <w:sz w:val="24"/>
                <w:szCs w:val="24"/>
              </w:rPr>
              <w:t>参选人全称</w:t>
            </w:r>
          </w:p>
        </w:tc>
        <w:tc>
          <w:tcPr>
            <w:tcW w:w="7380" w:type="dxa"/>
            <w:gridSpan w:val="3"/>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t>主要业务范围</w:t>
            </w:r>
          </w:p>
        </w:tc>
        <w:tc>
          <w:tcPr>
            <w:tcW w:w="7380" w:type="dxa"/>
            <w:gridSpan w:val="3"/>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t>法定代表人名称</w:t>
            </w:r>
          </w:p>
        </w:tc>
        <w:tc>
          <w:tcPr>
            <w:tcW w:w="3316" w:type="dxa"/>
            <w:noWrap w:val="0"/>
            <w:vAlign w:val="center"/>
          </w:tcPr>
          <w:p>
            <w:pPr>
              <w:jc w:val="left"/>
              <w:rPr>
                <w:rFonts w:hint="eastAsia" w:ascii="宋体" w:hAnsi="宋体"/>
                <w:sz w:val="24"/>
                <w:szCs w:val="24"/>
              </w:rPr>
            </w:pPr>
          </w:p>
        </w:tc>
        <w:tc>
          <w:tcPr>
            <w:tcW w:w="2260" w:type="dxa"/>
            <w:noWrap w:val="0"/>
            <w:vAlign w:val="center"/>
          </w:tcPr>
          <w:p>
            <w:pPr>
              <w:jc w:val="center"/>
              <w:rPr>
                <w:rFonts w:hint="eastAsia" w:ascii="宋体" w:hAnsi="宋体"/>
                <w:sz w:val="24"/>
                <w:szCs w:val="24"/>
              </w:rPr>
            </w:pPr>
            <w:r>
              <w:rPr>
                <w:rFonts w:hint="eastAsia" w:ascii="宋体" w:hAnsi="宋体"/>
                <w:sz w:val="24"/>
                <w:szCs w:val="24"/>
              </w:rPr>
              <w:t>职务</w:t>
            </w:r>
          </w:p>
        </w:tc>
        <w:tc>
          <w:tcPr>
            <w:tcW w:w="1804" w:type="dxa"/>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t>参选人地址</w:t>
            </w:r>
          </w:p>
        </w:tc>
        <w:tc>
          <w:tcPr>
            <w:tcW w:w="3316" w:type="dxa"/>
            <w:noWrap w:val="0"/>
            <w:vAlign w:val="center"/>
          </w:tcPr>
          <w:p>
            <w:pPr>
              <w:jc w:val="left"/>
              <w:rPr>
                <w:rFonts w:hint="eastAsia" w:ascii="宋体" w:hAnsi="宋体"/>
                <w:sz w:val="24"/>
                <w:szCs w:val="24"/>
              </w:rPr>
            </w:pPr>
          </w:p>
        </w:tc>
        <w:tc>
          <w:tcPr>
            <w:tcW w:w="2260" w:type="dxa"/>
            <w:noWrap w:val="0"/>
            <w:vAlign w:val="center"/>
          </w:tcPr>
          <w:p>
            <w:pPr>
              <w:jc w:val="center"/>
              <w:rPr>
                <w:rFonts w:hint="eastAsia" w:ascii="宋体" w:hAnsi="宋体"/>
                <w:sz w:val="24"/>
                <w:szCs w:val="24"/>
              </w:rPr>
            </w:pPr>
            <w:r>
              <w:rPr>
                <w:rFonts w:hint="eastAsia" w:ascii="宋体" w:hAnsi="宋体"/>
                <w:sz w:val="24"/>
                <w:szCs w:val="24"/>
              </w:rPr>
              <w:t>邮政编码</w:t>
            </w:r>
          </w:p>
        </w:tc>
        <w:tc>
          <w:tcPr>
            <w:tcW w:w="1804" w:type="dxa"/>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t>成立日期</w:t>
            </w:r>
          </w:p>
        </w:tc>
        <w:tc>
          <w:tcPr>
            <w:tcW w:w="3316" w:type="dxa"/>
            <w:noWrap w:val="0"/>
            <w:vAlign w:val="center"/>
          </w:tcPr>
          <w:p>
            <w:pPr>
              <w:jc w:val="left"/>
              <w:rPr>
                <w:rFonts w:hint="eastAsia" w:ascii="宋体" w:hAnsi="宋体"/>
                <w:sz w:val="24"/>
                <w:szCs w:val="24"/>
              </w:rPr>
            </w:pPr>
          </w:p>
        </w:tc>
        <w:tc>
          <w:tcPr>
            <w:tcW w:w="2260" w:type="dxa"/>
            <w:noWrap w:val="0"/>
            <w:vAlign w:val="center"/>
          </w:tcPr>
          <w:p>
            <w:pPr>
              <w:jc w:val="center"/>
              <w:rPr>
                <w:rFonts w:hint="eastAsia" w:ascii="宋体" w:hAnsi="宋体"/>
                <w:sz w:val="24"/>
                <w:szCs w:val="24"/>
              </w:rPr>
            </w:pPr>
            <w:r>
              <w:rPr>
                <w:rFonts w:hint="eastAsia" w:ascii="宋体" w:hAnsi="宋体"/>
                <w:sz w:val="24"/>
                <w:szCs w:val="24"/>
              </w:rPr>
              <w:t>现有职工人数</w:t>
            </w:r>
          </w:p>
        </w:tc>
        <w:tc>
          <w:tcPr>
            <w:tcW w:w="1804" w:type="dxa"/>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t>资质证书</w:t>
            </w:r>
          </w:p>
        </w:tc>
        <w:tc>
          <w:tcPr>
            <w:tcW w:w="7380" w:type="dxa"/>
            <w:gridSpan w:val="3"/>
            <w:noWrap w:val="0"/>
            <w:vAlign w:val="center"/>
          </w:tcPr>
          <w:p>
            <w:pPr>
              <w:jc w:val="left"/>
              <w:rPr>
                <w:rFonts w:hint="eastAsia" w:ascii="宋体" w:hAnsi="宋体"/>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2412" w:type="dxa"/>
            <w:noWrap w:val="0"/>
            <w:vAlign w:val="center"/>
          </w:tcPr>
          <w:p>
            <w:pPr>
              <w:jc w:val="center"/>
              <w:rPr>
                <w:rFonts w:hint="eastAsia" w:ascii="宋体" w:hAnsi="宋体"/>
                <w:sz w:val="24"/>
                <w:szCs w:val="24"/>
              </w:rPr>
            </w:pPr>
            <w:r>
              <w:rPr>
                <w:rFonts w:hint="eastAsia" w:ascii="宋体" w:hAnsi="宋体"/>
                <w:spacing w:val="8"/>
                <w:sz w:val="24"/>
                <w:szCs w:val="24"/>
              </w:rPr>
              <w:t>组织机构简介</w:t>
            </w:r>
          </w:p>
        </w:tc>
        <w:tc>
          <w:tcPr>
            <w:tcW w:w="7380" w:type="dxa"/>
            <w:gridSpan w:val="3"/>
            <w:noWrap w:val="0"/>
            <w:vAlign w:val="center"/>
          </w:tcPr>
          <w:p>
            <w:pPr>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2412" w:type="dxa"/>
            <w:noWrap w:val="0"/>
            <w:vAlign w:val="center"/>
          </w:tcPr>
          <w:p>
            <w:pPr>
              <w:jc w:val="center"/>
              <w:rPr>
                <w:rFonts w:hint="eastAsia" w:ascii="宋体" w:hAnsi="宋体"/>
                <w:sz w:val="24"/>
                <w:szCs w:val="24"/>
              </w:rPr>
            </w:pPr>
            <w:r>
              <w:rPr>
                <w:rFonts w:hint="eastAsia" w:ascii="宋体" w:hAnsi="宋体"/>
                <w:sz w:val="24"/>
                <w:szCs w:val="24"/>
              </w:rPr>
              <w:t>内部管理制度</w:t>
            </w:r>
          </w:p>
        </w:tc>
        <w:tc>
          <w:tcPr>
            <w:tcW w:w="7380" w:type="dxa"/>
            <w:gridSpan w:val="3"/>
            <w:noWrap w:val="0"/>
            <w:vAlign w:val="center"/>
          </w:tcPr>
          <w:p>
            <w:pPr>
              <w:jc w:val="left"/>
              <w:rPr>
                <w:rFonts w:hint="eastAsia" w:ascii="宋体" w:hAnsi="宋体"/>
                <w:spacing w:val="8"/>
                <w:sz w:val="24"/>
                <w:szCs w:val="24"/>
              </w:rPr>
            </w:pPr>
          </w:p>
        </w:tc>
      </w:tr>
    </w:tbl>
    <w:p>
      <w:pPr>
        <w:pStyle w:val="13"/>
        <w:adjustRightInd w:val="0"/>
        <w:snapToGrid w:val="0"/>
        <w:spacing w:line="360" w:lineRule="auto"/>
        <w:jc w:val="left"/>
        <w:outlineLvl w:val="9"/>
        <w:rPr>
          <w:rFonts w:hint="eastAsia" w:hAnsi="宋体"/>
          <w:b/>
          <w:bCs/>
          <w:sz w:val="24"/>
          <w:szCs w:val="24"/>
        </w:rPr>
      </w:pPr>
      <w:r>
        <w:rPr>
          <w:rFonts w:hint="eastAsia" w:hAnsi="宋体"/>
          <w:sz w:val="24"/>
          <w:szCs w:val="24"/>
        </w:rPr>
        <w:br w:type="page"/>
      </w:r>
      <w:bookmarkStart w:id="46" w:name="_Toc8136"/>
      <w:bookmarkStart w:id="47" w:name="_Toc16451"/>
      <w:r>
        <w:rPr>
          <w:rFonts w:hint="eastAsia" w:hAnsi="宋体"/>
          <w:b/>
          <w:bCs/>
          <w:sz w:val="24"/>
          <w:szCs w:val="24"/>
        </w:rPr>
        <w:t>格式四：营业执照复印件加盖公章</w:t>
      </w:r>
      <w:bookmarkEnd w:id="46"/>
      <w:bookmarkEnd w:id="47"/>
    </w:p>
    <w:p>
      <w:pPr>
        <w:pStyle w:val="13"/>
        <w:adjustRightInd w:val="0"/>
        <w:snapToGrid w:val="0"/>
        <w:spacing w:line="360" w:lineRule="auto"/>
        <w:jc w:val="left"/>
        <w:outlineLvl w:val="9"/>
        <w:rPr>
          <w:rFonts w:hint="eastAsia" w:hAnsi="宋体"/>
          <w:b/>
          <w:bCs/>
          <w:sz w:val="24"/>
          <w:szCs w:val="24"/>
        </w:rPr>
      </w:pPr>
    </w:p>
    <w:p>
      <w:pPr>
        <w:pStyle w:val="13"/>
        <w:adjustRightInd w:val="0"/>
        <w:snapToGrid w:val="0"/>
        <w:spacing w:line="360" w:lineRule="auto"/>
        <w:jc w:val="left"/>
        <w:outlineLvl w:val="9"/>
        <w:rPr>
          <w:rFonts w:hint="eastAsia" w:hAnsi="宋体"/>
          <w:b/>
          <w:sz w:val="24"/>
          <w:szCs w:val="24"/>
        </w:rPr>
      </w:pPr>
      <w:bookmarkStart w:id="48" w:name="_Toc3979"/>
      <w:bookmarkStart w:id="49" w:name="_Toc27752"/>
      <w:r>
        <w:rPr>
          <w:rFonts w:hint="eastAsia" w:hAnsi="宋体"/>
          <w:b/>
          <w:sz w:val="24"/>
          <w:szCs w:val="24"/>
        </w:rPr>
        <w:t>格式五：项目经理及主要成员简历表</w:t>
      </w:r>
      <w:bookmarkEnd w:id="48"/>
      <w:bookmarkEnd w:id="49"/>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1613"/>
        <w:gridCol w:w="1664"/>
        <w:gridCol w:w="1370"/>
        <w:gridCol w:w="1372"/>
        <w:gridCol w:w="1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73" w:type="dxa"/>
            <w:noWrap w:val="0"/>
            <w:vAlign w:val="center"/>
          </w:tcPr>
          <w:p>
            <w:pPr>
              <w:spacing w:line="360" w:lineRule="auto"/>
              <w:jc w:val="left"/>
              <w:rPr>
                <w:rFonts w:hint="eastAsia" w:ascii="宋体" w:hAnsi="宋体"/>
                <w:sz w:val="24"/>
                <w:szCs w:val="24"/>
              </w:rPr>
            </w:pPr>
            <w:r>
              <w:rPr>
                <w:rFonts w:hint="eastAsia" w:ascii="宋体" w:hAnsi="宋体"/>
                <w:sz w:val="24"/>
                <w:szCs w:val="24"/>
              </w:rPr>
              <w:t>姓名</w:t>
            </w:r>
          </w:p>
        </w:tc>
        <w:tc>
          <w:tcPr>
            <w:tcW w:w="1613" w:type="dxa"/>
            <w:noWrap w:val="0"/>
            <w:vAlign w:val="center"/>
          </w:tcPr>
          <w:p>
            <w:pPr>
              <w:spacing w:line="360" w:lineRule="auto"/>
              <w:jc w:val="left"/>
              <w:rPr>
                <w:rFonts w:hint="eastAsia" w:ascii="宋体" w:hAnsi="宋体"/>
                <w:sz w:val="24"/>
                <w:szCs w:val="24"/>
              </w:rPr>
            </w:pPr>
          </w:p>
        </w:tc>
        <w:tc>
          <w:tcPr>
            <w:tcW w:w="1664" w:type="dxa"/>
            <w:noWrap w:val="0"/>
            <w:vAlign w:val="center"/>
          </w:tcPr>
          <w:p>
            <w:pPr>
              <w:spacing w:line="360" w:lineRule="auto"/>
              <w:jc w:val="left"/>
              <w:rPr>
                <w:rFonts w:hint="eastAsia" w:ascii="宋体" w:hAnsi="宋体"/>
                <w:sz w:val="24"/>
                <w:szCs w:val="24"/>
              </w:rPr>
            </w:pPr>
            <w:r>
              <w:rPr>
                <w:rFonts w:hint="eastAsia" w:ascii="宋体" w:hAnsi="宋体"/>
                <w:sz w:val="24"/>
                <w:szCs w:val="24"/>
              </w:rPr>
              <w:t>性别</w:t>
            </w:r>
          </w:p>
        </w:tc>
        <w:tc>
          <w:tcPr>
            <w:tcW w:w="1370" w:type="dxa"/>
            <w:noWrap w:val="0"/>
            <w:vAlign w:val="center"/>
          </w:tcPr>
          <w:p>
            <w:pPr>
              <w:spacing w:line="360" w:lineRule="auto"/>
              <w:jc w:val="left"/>
              <w:rPr>
                <w:rFonts w:hint="eastAsia" w:ascii="宋体" w:hAnsi="宋体"/>
                <w:sz w:val="24"/>
                <w:szCs w:val="24"/>
              </w:rPr>
            </w:pPr>
          </w:p>
        </w:tc>
        <w:tc>
          <w:tcPr>
            <w:tcW w:w="1372" w:type="dxa"/>
            <w:noWrap w:val="0"/>
            <w:vAlign w:val="center"/>
          </w:tcPr>
          <w:p>
            <w:pPr>
              <w:spacing w:line="360" w:lineRule="auto"/>
              <w:jc w:val="left"/>
              <w:rPr>
                <w:rFonts w:hint="eastAsia" w:ascii="宋体" w:hAnsi="宋体"/>
                <w:sz w:val="24"/>
                <w:szCs w:val="24"/>
              </w:rPr>
            </w:pPr>
            <w:r>
              <w:rPr>
                <w:rFonts w:hint="eastAsia" w:ascii="宋体" w:hAnsi="宋体"/>
                <w:sz w:val="24"/>
                <w:szCs w:val="24"/>
              </w:rPr>
              <w:t>职务</w:t>
            </w:r>
          </w:p>
        </w:tc>
        <w:tc>
          <w:tcPr>
            <w:tcW w:w="1373" w:type="dxa"/>
            <w:noWrap w:val="0"/>
            <w:vAlign w:val="center"/>
          </w:tcPr>
          <w:p>
            <w:pPr>
              <w:spacing w:line="360" w:lineRule="auto"/>
              <w:jc w:val="left"/>
              <w:rPr>
                <w:rFonts w:hint="eastAsia"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73" w:type="dxa"/>
            <w:noWrap w:val="0"/>
            <w:vAlign w:val="center"/>
          </w:tcPr>
          <w:p>
            <w:pPr>
              <w:spacing w:line="360" w:lineRule="auto"/>
              <w:jc w:val="left"/>
              <w:rPr>
                <w:rFonts w:hint="eastAsia" w:ascii="宋体" w:hAnsi="宋体"/>
                <w:sz w:val="24"/>
                <w:szCs w:val="24"/>
              </w:rPr>
            </w:pPr>
            <w:r>
              <w:rPr>
                <w:rFonts w:hint="eastAsia" w:ascii="宋体" w:hAnsi="宋体"/>
                <w:sz w:val="24"/>
                <w:szCs w:val="24"/>
              </w:rPr>
              <w:t>本项目中</w:t>
            </w:r>
          </w:p>
          <w:p>
            <w:pPr>
              <w:spacing w:line="360" w:lineRule="auto"/>
              <w:jc w:val="left"/>
              <w:rPr>
                <w:rFonts w:hint="eastAsia" w:ascii="宋体" w:hAnsi="宋体"/>
                <w:sz w:val="24"/>
                <w:szCs w:val="24"/>
              </w:rPr>
            </w:pPr>
            <w:r>
              <w:rPr>
                <w:rFonts w:hint="eastAsia" w:ascii="宋体" w:hAnsi="宋体"/>
                <w:sz w:val="24"/>
                <w:szCs w:val="24"/>
              </w:rPr>
              <w:t>拟任职</w:t>
            </w:r>
          </w:p>
        </w:tc>
        <w:tc>
          <w:tcPr>
            <w:tcW w:w="1613" w:type="dxa"/>
            <w:noWrap w:val="0"/>
            <w:vAlign w:val="center"/>
          </w:tcPr>
          <w:p>
            <w:pPr>
              <w:spacing w:line="360" w:lineRule="auto"/>
              <w:jc w:val="left"/>
              <w:rPr>
                <w:rFonts w:hint="eastAsia" w:ascii="宋体" w:hAnsi="宋体"/>
                <w:sz w:val="24"/>
                <w:szCs w:val="24"/>
              </w:rPr>
            </w:pPr>
          </w:p>
        </w:tc>
        <w:tc>
          <w:tcPr>
            <w:tcW w:w="1664" w:type="dxa"/>
            <w:noWrap w:val="0"/>
            <w:vAlign w:val="center"/>
          </w:tcPr>
          <w:p>
            <w:pPr>
              <w:spacing w:line="360" w:lineRule="auto"/>
              <w:jc w:val="left"/>
              <w:rPr>
                <w:rFonts w:hint="eastAsia" w:ascii="宋体" w:hAnsi="宋体"/>
                <w:sz w:val="24"/>
                <w:szCs w:val="24"/>
              </w:rPr>
            </w:pPr>
            <w:r>
              <w:rPr>
                <w:rFonts w:hint="eastAsia" w:ascii="宋体" w:hAnsi="宋体"/>
                <w:sz w:val="24"/>
                <w:szCs w:val="24"/>
              </w:rPr>
              <w:t>学历</w:t>
            </w:r>
          </w:p>
        </w:tc>
        <w:tc>
          <w:tcPr>
            <w:tcW w:w="1370" w:type="dxa"/>
            <w:noWrap w:val="0"/>
            <w:vAlign w:val="center"/>
          </w:tcPr>
          <w:p>
            <w:pPr>
              <w:spacing w:line="360" w:lineRule="auto"/>
              <w:jc w:val="left"/>
              <w:rPr>
                <w:rFonts w:hint="eastAsia" w:ascii="宋体" w:hAnsi="宋体"/>
                <w:sz w:val="24"/>
                <w:szCs w:val="24"/>
              </w:rPr>
            </w:pPr>
          </w:p>
        </w:tc>
        <w:tc>
          <w:tcPr>
            <w:tcW w:w="1372" w:type="dxa"/>
            <w:noWrap w:val="0"/>
            <w:vAlign w:val="center"/>
          </w:tcPr>
          <w:p>
            <w:pPr>
              <w:spacing w:line="360" w:lineRule="auto"/>
              <w:jc w:val="left"/>
              <w:rPr>
                <w:rFonts w:hint="eastAsia" w:ascii="宋体" w:hAnsi="宋体"/>
                <w:sz w:val="24"/>
                <w:szCs w:val="24"/>
              </w:rPr>
            </w:pPr>
            <w:r>
              <w:rPr>
                <w:rFonts w:hint="eastAsia" w:ascii="宋体" w:hAnsi="宋体"/>
                <w:sz w:val="24"/>
                <w:szCs w:val="24"/>
              </w:rPr>
              <w:t>工作年限</w:t>
            </w:r>
          </w:p>
        </w:tc>
        <w:tc>
          <w:tcPr>
            <w:tcW w:w="1373" w:type="dxa"/>
            <w:noWrap w:val="0"/>
            <w:vAlign w:val="center"/>
          </w:tcPr>
          <w:p>
            <w:pPr>
              <w:spacing w:line="360" w:lineRule="auto"/>
              <w:jc w:val="left"/>
              <w:rPr>
                <w:rFonts w:hint="eastAsia"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373" w:type="dxa"/>
            <w:noWrap w:val="0"/>
            <w:vAlign w:val="center"/>
          </w:tcPr>
          <w:p>
            <w:pPr>
              <w:spacing w:line="360" w:lineRule="auto"/>
              <w:jc w:val="left"/>
              <w:rPr>
                <w:rFonts w:hint="eastAsia" w:ascii="宋体" w:hAnsi="宋体"/>
                <w:sz w:val="24"/>
                <w:szCs w:val="24"/>
              </w:rPr>
            </w:pPr>
            <w:r>
              <w:rPr>
                <w:rFonts w:hint="eastAsia" w:ascii="宋体" w:hAnsi="宋体"/>
                <w:sz w:val="24"/>
                <w:szCs w:val="24"/>
              </w:rPr>
              <w:t>执业资格、职称等</w:t>
            </w:r>
          </w:p>
        </w:tc>
        <w:tc>
          <w:tcPr>
            <w:tcW w:w="7392" w:type="dxa"/>
            <w:gridSpan w:val="5"/>
            <w:noWrap w:val="0"/>
            <w:vAlign w:val="center"/>
          </w:tcPr>
          <w:p>
            <w:pPr>
              <w:spacing w:line="360" w:lineRule="auto"/>
              <w:jc w:val="left"/>
              <w:rPr>
                <w:rFonts w:hint="eastAsia"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4" w:hRule="atLeast"/>
        </w:trPr>
        <w:tc>
          <w:tcPr>
            <w:tcW w:w="1373" w:type="dxa"/>
            <w:noWrap w:val="0"/>
            <w:vAlign w:val="center"/>
          </w:tcPr>
          <w:p>
            <w:pPr>
              <w:spacing w:line="360" w:lineRule="auto"/>
              <w:jc w:val="left"/>
              <w:rPr>
                <w:rFonts w:hint="eastAsia" w:ascii="宋体" w:hAnsi="宋体"/>
                <w:sz w:val="24"/>
                <w:szCs w:val="24"/>
              </w:rPr>
            </w:pPr>
            <w:r>
              <w:rPr>
                <w:rFonts w:hint="eastAsia" w:ascii="宋体" w:hAnsi="宋体"/>
                <w:sz w:val="24"/>
                <w:szCs w:val="24"/>
              </w:rPr>
              <w:t>任职情况</w:t>
            </w:r>
          </w:p>
        </w:tc>
        <w:tc>
          <w:tcPr>
            <w:tcW w:w="7392" w:type="dxa"/>
            <w:gridSpan w:val="5"/>
            <w:noWrap w:val="0"/>
            <w:vAlign w:val="center"/>
          </w:tcPr>
          <w:p>
            <w:pPr>
              <w:spacing w:line="360" w:lineRule="auto"/>
              <w:jc w:val="left"/>
              <w:rPr>
                <w:rFonts w:hint="eastAsia"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70" w:hRule="atLeast"/>
        </w:trPr>
        <w:tc>
          <w:tcPr>
            <w:tcW w:w="1373" w:type="dxa"/>
            <w:noWrap w:val="0"/>
            <w:vAlign w:val="center"/>
          </w:tcPr>
          <w:p>
            <w:pPr>
              <w:spacing w:line="360" w:lineRule="auto"/>
              <w:jc w:val="left"/>
              <w:rPr>
                <w:rFonts w:hint="eastAsia" w:ascii="宋体" w:hAnsi="宋体"/>
                <w:sz w:val="24"/>
                <w:szCs w:val="24"/>
              </w:rPr>
            </w:pPr>
            <w:r>
              <w:rPr>
                <w:rFonts w:hint="eastAsia" w:ascii="宋体" w:hAnsi="宋体"/>
                <w:sz w:val="24"/>
                <w:szCs w:val="24"/>
              </w:rPr>
              <w:t>承担的采购/招标代理相关业绩情况</w:t>
            </w:r>
          </w:p>
        </w:tc>
        <w:tc>
          <w:tcPr>
            <w:tcW w:w="7392" w:type="dxa"/>
            <w:gridSpan w:val="5"/>
            <w:noWrap w:val="0"/>
            <w:vAlign w:val="center"/>
          </w:tcPr>
          <w:p>
            <w:pPr>
              <w:spacing w:line="360" w:lineRule="auto"/>
              <w:jc w:val="left"/>
              <w:rPr>
                <w:rFonts w:hint="eastAsia" w:ascii="宋体" w:hAnsi="宋体"/>
                <w:sz w:val="24"/>
                <w:szCs w:val="24"/>
              </w:rPr>
            </w:pPr>
          </w:p>
        </w:tc>
      </w:tr>
    </w:tbl>
    <w:p>
      <w:pPr>
        <w:pStyle w:val="2"/>
        <w:adjustRightInd w:val="0"/>
        <w:snapToGrid w:val="0"/>
        <w:spacing w:before="0" w:after="0" w:line="360" w:lineRule="auto"/>
        <w:jc w:val="center"/>
        <w:rPr>
          <w:rFonts w:hint="eastAsia"/>
          <w:szCs w:val="32"/>
        </w:rPr>
      </w:pPr>
    </w:p>
    <w:p>
      <w:pPr>
        <w:rPr>
          <w:rFonts w:hint="eastAsia"/>
          <w:szCs w:val="32"/>
        </w:rPr>
      </w:pPr>
    </w:p>
    <w:p>
      <w:pPr>
        <w:rPr>
          <w:rFonts w:hint="eastAsia"/>
          <w:szCs w:val="32"/>
        </w:rPr>
      </w:pPr>
    </w:p>
    <w:p/>
    <w:p>
      <w:pPr>
        <w:rPr>
          <w:rFonts w:hint="eastAsia"/>
          <w:b/>
          <w:bCs/>
          <w:sz w:val="24"/>
          <w:szCs w:val="24"/>
          <w:highlight w:val="none"/>
        </w:rPr>
      </w:pPr>
      <w:r>
        <w:rPr>
          <w:rFonts w:hint="eastAsia"/>
          <w:b/>
          <w:bCs/>
          <w:sz w:val="24"/>
          <w:szCs w:val="24"/>
          <w:highlight w:val="none"/>
        </w:rPr>
        <w:t>格式六：招标代理服务费</w:t>
      </w:r>
    </w:p>
    <w:p>
      <w:pPr>
        <w:rPr>
          <w:rFonts w:hint="eastAsia"/>
        </w:rPr>
      </w:pPr>
      <w:r>
        <w:rPr>
          <w:rFonts w:hint="eastAsia"/>
        </w:rPr>
        <w:t xml:space="preserve">                          </w:t>
      </w:r>
    </w:p>
    <w:tbl>
      <w:tblPr>
        <w:tblStyle w:val="10"/>
        <w:tblW w:w="5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09" w:type="dxa"/>
            <w:noWrap w:val="0"/>
            <w:vAlign w:val="center"/>
          </w:tcPr>
          <w:p>
            <w:pPr>
              <w:rPr>
                <w:b/>
                <w:bCs/>
              </w:rPr>
            </w:pPr>
            <w:r>
              <w:rPr>
                <w:rFonts w:hint="eastAsia"/>
                <w:b/>
                <w:bCs/>
              </w:rPr>
              <w:t>序号</w:t>
            </w:r>
          </w:p>
        </w:tc>
        <w:tc>
          <w:tcPr>
            <w:tcW w:w="1843" w:type="dxa"/>
            <w:noWrap w:val="0"/>
            <w:vAlign w:val="center"/>
          </w:tcPr>
          <w:p>
            <w:pPr>
              <w:rPr>
                <w:b/>
                <w:bCs/>
              </w:rPr>
            </w:pPr>
            <w:r>
              <w:rPr>
                <w:rFonts w:hint="eastAsia"/>
                <w:b/>
                <w:bCs/>
              </w:rPr>
              <w:t>报价类别</w:t>
            </w:r>
          </w:p>
        </w:tc>
        <w:tc>
          <w:tcPr>
            <w:tcW w:w="3052" w:type="dxa"/>
            <w:noWrap w:val="0"/>
            <w:vAlign w:val="center"/>
          </w:tcPr>
          <w:p>
            <w:pPr>
              <w:rPr>
                <w:b/>
                <w:bCs/>
              </w:rPr>
            </w:pPr>
            <w:r>
              <w:rPr>
                <w:rFonts w:hint="eastAsia"/>
                <w:b/>
                <w:bCs/>
              </w:rPr>
              <w:t>服务费报价（下浮比例%）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709" w:type="dxa"/>
            <w:noWrap w:val="0"/>
            <w:vAlign w:val="center"/>
          </w:tcPr>
          <w:p>
            <w:r>
              <w:rPr>
                <w:rFonts w:hint="eastAsia"/>
              </w:rPr>
              <w:t>1</w:t>
            </w:r>
          </w:p>
        </w:tc>
        <w:tc>
          <w:tcPr>
            <w:tcW w:w="1843" w:type="dxa"/>
            <w:noWrap w:val="0"/>
            <w:vAlign w:val="center"/>
          </w:tcPr>
          <w:p>
            <w:r>
              <w:rPr>
                <w:rFonts w:hint="eastAsia"/>
              </w:rPr>
              <w:t>招标代理费用</w:t>
            </w:r>
          </w:p>
        </w:tc>
        <w:tc>
          <w:tcPr>
            <w:tcW w:w="3052" w:type="dxa"/>
            <w:noWrap w:val="0"/>
            <w:vAlign w:val="center"/>
          </w:tcPr>
          <w:p>
            <w:r>
              <w:rPr>
                <w:rFonts w:hint="eastAsia"/>
              </w:rPr>
              <w:t>按《招标代理服务收费标准》</w:t>
            </w:r>
          </w:p>
          <w:p>
            <w:pPr>
              <w:rPr>
                <w:u w:val="single"/>
              </w:rPr>
            </w:pPr>
            <w:r>
              <w:rPr>
                <w:rFonts w:hint="eastAsia"/>
              </w:rPr>
              <w:t>下浮</w:t>
            </w:r>
            <w:r>
              <w:rPr>
                <w:rFonts w:hint="eastAsia"/>
                <w:u w:val="single"/>
              </w:rPr>
              <w:t xml:space="preserve">     </w:t>
            </w:r>
            <w:r>
              <w:rPr>
                <w:rFonts w:hint="eastAsia"/>
              </w:rPr>
              <w:t>%</w:t>
            </w:r>
          </w:p>
        </w:tc>
      </w:tr>
    </w:tbl>
    <w:p>
      <w:pPr>
        <w:rPr>
          <w:rFonts w:hint="eastAsia"/>
        </w:rPr>
      </w:pPr>
      <w:r>
        <w:rPr>
          <w:rFonts w:hint="eastAsia"/>
        </w:rPr>
        <w:t>参选人（盖单位印章）：</w:t>
      </w:r>
    </w:p>
    <w:p>
      <w:pPr>
        <w:rPr>
          <w:rFonts w:hint="eastAsia"/>
        </w:rPr>
      </w:pPr>
      <w:r>
        <w:rPr>
          <w:rFonts w:hint="eastAsia"/>
        </w:rPr>
        <w:t>被授权人签字：</w:t>
      </w:r>
    </w:p>
    <w:p>
      <w:pPr>
        <w:rPr>
          <w:rFonts w:hint="eastAsia"/>
        </w:rPr>
      </w:pPr>
      <w:r>
        <w:rPr>
          <w:rFonts w:hint="eastAsia"/>
        </w:rPr>
        <w:t>日期：</w:t>
      </w:r>
    </w:p>
    <w:p>
      <w:pPr>
        <w:rPr>
          <w:rFonts w:hint="eastAsia"/>
        </w:rPr>
      </w:pPr>
    </w:p>
    <w:p>
      <w:pPr>
        <w:rPr>
          <w:rFonts w:hint="eastAsia"/>
        </w:rPr>
      </w:pPr>
      <w:r>
        <w:rPr>
          <w:rFonts w:hint="eastAsia"/>
        </w:rPr>
        <w:t>注： 1、上述序号1报价中《招标代理服务收费标准》采用差额、累计、阶梯式收费标准，标准如下表所示：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0"/>
        <w:gridCol w:w="1980"/>
        <w:gridCol w:w="198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860" w:type="dxa"/>
            <w:noWrap w:val="0"/>
            <w:vAlign w:val="top"/>
          </w:tcPr>
          <w:p>
            <w:pPr>
              <w:rPr>
                <w:b/>
                <w:bCs/>
              </w:rPr>
            </w:pPr>
            <w:r>
              <w:rPr>
                <w:b/>
                <w:bCs/>
              </w:rPr>
              <mc:AlternateContent>
                <mc:Choice Requires="wps">
                  <w:drawing>
                    <wp:anchor distT="0" distB="0" distL="114300" distR="114300" simplePos="0" relativeHeight="251661312" behindDoc="0" locked="0" layoutInCell="1" allowOverlap="1">
                      <wp:simplePos x="0" y="0"/>
                      <wp:positionH relativeFrom="column">
                        <wp:posOffset>247015</wp:posOffset>
                      </wp:positionH>
                      <wp:positionV relativeFrom="paragraph">
                        <wp:posOffset>15875</wp:posOffset>
                      </wp:positionV>
                      <wp:extent cx="1466215" cy="933450"/>
                      <wp:effectExtent l="2540" t="3810" r="17145" b="15240"/>
                      <wp:wrapNone/>
                      <wp:docPr id="1" name="直接连接符 1"/>
                      <wp:cNvGraphicFramePr/>
                      <a:graphic xmlns:a="http://schemas.openxmlformats.org/drawingml/2006/main">
                        <a:graphicData uri="http://schemas.microsoft.com/office/word/2010/wordprocessingShape">
                          <wps:wsp>
                            <wps:cNvCnPr/>
                            <wps:spPr>
                              <a:xfrm flipH="1" flipV="1">
                                <a:off x="0" y="0"/>
                                <a:ext cx="1466215" cy="9334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9.45pt;margin-top:1.25pt;height:73.5pt;width:115.45pt;z-index:251661312;mso-width-relative:page;mso-height-relative:page;" filled="f" stroked="t" coordsize="21600,21600" o:gfxdata="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DUWudQAAAAIAQAADwAAAAAAAAABACAAAAAiAAAAZHJzL2Rv&#10;d25yZXYueG1sUEsBAhQAFAAAAAgAh07iQFQ09SQFAgAA/QMAAA4AAAAAAAAAAQAgAAAAIwEAAGRy&#10;cy9lMm9Eb2MueG1sUEsFBgAAAAAGAAYAWQEAAJoFAAAAAA==&#10;">
                      <v:fill on="f" focussize="0,0"/>
                      <v:stroke color="#000000" joinstyle="round"/>
                      <v:imagedata o:title=""/>
                      <o:lock v:ext="edit" aspectratio="f"/>
                    </v:line>
                  </w:pict>
                </mc:Fallback>
              </mc:AlternateContent>
            </w:r>
            <w:r>
              <w:rPr>
                <w:b/>
                <w:bC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D0IyvE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c84cWGr47ecf&#10;vz59vfv5hdbb79/YPIs0BKwp9tqt43GHYR0z430bbf4TF7Yvwh5Owqp9YoKcl88vOBP3/urhUoiY&#10;XitvWTYabrTLfKGG3RtMlIhC70Oy2zg2NPzlxTzDAQ1fS00n0wYigK4rd9EbLW+0MfkGxm5zbSLb&#10;QR6A8mU6hPtXWE6yAuzHuHI0jkavQL5ykqVDIGkcvQieS7BKcmYUPaBsESDUCbQ5J5JSG0cVZEVH&#10;DbO18fJAjdiGqLuelJiVKvMJNb7UexzSPFl/7gvSw8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kdN+1QAAAAkBAAAPAAAAAAAAAAEAIAAAACIAAABkcnMvZG93bnJldi54bWxQSwECFAAUAAAA&#10;CACHTuJA2D0IyvEBAADgAwAADgAAAAAAAAABACAAAAAkAQAAZHJzL2Uyb0RvYy54bWxQSwUGAAAA&#10;AAYABgBZAQAAhwUAAAAA&#10;">
                      <v:fill on="f" focussize="0,0"/>
                      <v:stroke color="#000000" joinstyle="round"/>
                      <v:imagedata o:title=""/>
                      <o:lock v:ext="edit" aspectratio="f"/>
                    </v:line>
                  </w:pict>
                </mc:Fallback>
              </mc:AlternateContent>
            </w:r>
            <w:r>
              <w:rPr>
                <w:rFonts w:hint="eastAsia"/>
                <w:b/>
                <w:bCs/>
              </w:rPr>
              <w:t xml:space="preserve">　　 </w:t>
            </w:r>
            <w:r>
              <w:rPr>
                <w:b/>
                <w:bCs/>
              </w:rPr>
              <w:t xml:space="preserve">       </w:t>
            </w:r>
          </w:p>
          <w:p>
            <w:pPr>
              <w:ind w:firstLine="1265" w:firstLineChars="600"/>
              <w:rPr>
                <w:b/>
                <w:bCs/>
              </w:rPr>
            </w:pPr>
            <w:r>
              <w:rPr>
                <w:rFonts w:hint="eastAsia"/>
                <w:b/>
                <w:bCs/>
              </w:rPr>
              <w:t>服务类型</w:t>
            </w:r>
          </w:p>
          <w:p>
            <w:pPr>
              <w:ind w:firstLine="632" w:firstLineChars="300"/>
              <w:rPr>
                <w:rFonts w:hint="eastAsia"/>
                <w:b/>
                <w:bCs/>
              </w:rPr>
            </w:pPr>
            <w:r>
              <w:rPr>
                <w:b/>
                <w:bCs/>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40640</wp:posOffset>
                      </wp:positionV>
                      <wp:extent cx="1717040" cy="591185"/>
                      <wp:effectExtent l="1270" t="4445" r="15240" b="13970"/>
                      <wp:wrapNone/>
                      <wp:docPr id="3" name="直接连接符 3"/>
                      <wp:cNvGraphicFramePr/>
                      <a:graphic xmlns:a="http://schemas.openxmlformats.org/drawingml/2006/main">
                        <a:graphicData uri="http://schemas.microsoft.com/office/word/2010/wordprocessingShape">
                          <wps:wsp>
                            <wps:cNvCnPr/>
                            <wps:spPr>
                              <a:xfrm flipH="1" flipV="1">
                                <a:off x="0" y="0"/>
                                <a:ext cx="1717040" cy="5911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3.9pt;margin-top:3.2pt;height:46.55pt;width:135.2pt;z-index:251660288;mso-width-relative:page;mso-height-relative:page;" filled="f" stroked="t" coordsize="21600,21600" o:gfxdata="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fUKxNQAAAAHAQAADwAAAAAAAAABACAAAAAiAAAAZHJzL2Rv&#10;d25yZXYueG1sUEsBAhQAFAAAAAgAh07iQBznSbsFAgAA/QMAAA4AAAAAAAAAAQAgAAAAIwEAAGRy&#10;cy9lMm9Eb2MueG1sUEsFBgAAAAAGAAYAWQEAAJoFAAAAAA==&#10;">
                      <v:fill on="f" focussize="0,0"/>
                      <v:stroke color="#000000" joinstyle="round"/>
                      <v:imagedata o:title=""/>
                      <o:lock v:ext="edit" aspectratio="f"/>
                    </v:line>
                  </w:pict>
                </mc:Fallback>
              </mc:AlternateContent>
            </w:r>
            <w:r>
              <w:rPr>
                <w:rFonts w:hint="eastAsia"/>
                <w:b/>
                <w:bCs/>
              </w:rPr>
              <w:t>费率</w:t>
            </w:r>
          </w:p>
          <w:p>
            <w:pPr>
              <w:rPr>
                <w:b/>
                <w:bCs/>
              </w:rPr>
            </w:pPr>
            <w:r>
              <w:rPr>
                <w:rFonts w:hint="eastAsia"/>
                <w:b/>
                <w:bCs/>
              </w:rPr>
              <w:t>　　　　</w:t>
            </w:r>
          </w:p>
          <w:p>
            <w:pPr>
              <w:rPr>
                <w:rFonts w:hint="eastAsia"/>
                <w:b/>
                <w:bCs/>
              </w:rPr>
            </w:pPr>
          </w:p>
          <w:p>
            <w:pPr>
              <w:rPr>
                <w:rFonts w:hint="eastAsia"/>
                <w:b/>
                <w:bCs/>
              </w:rPr>
            </w:pPr>
            <w:r>
              <w:rPr>
                <w:rFonts w:hint="eastAsia"/>
                <w:b/>
                <w:bCs/>
              </w:rPr>
              <w:t>中标金额（万元）</w:t>
            </w:r>
          </w:p>
        </w:tc>
        <w:tc>
          <w:tcPr>
            <w:tcW w:w="1980" w:type="dxa"/>
            <w:noWrap w:val="0"/>
            <w:vAlign w:val="center"/>
          </w:tcPr>
          <w:p>
            <w:pPr>
              <w:rPr>
                <w:rFonts w:hint="eastAsia"/>
                <w:b/>
                <w:bCs/>
              </w:rPr>
            </w:pPr>
            <w:r>
              <w:rPr>
                <w:rFonts w:hint="eastAsia"/>
                <w:b/>
                <w:bCs/>
              </w:rPr>
              <w:t>货物招标</w:t>
            </w:r>
          </w:p>
        </w:tc>
        <w:tc>
          <w:tcPr>
            <w:tcW w:w="1980" w:type="dxa"/>
            <w:noWrap w:val="0"/>
            <w:vAlign w:val="center"/>
          </w:tcPr>
          <w:p>
            <w:pPr>
              <w:rPr>
                <w:rFonts w:hint="eastAsia"/>
                <w:b/>
                <w:bCs/>
              </w:rPr>
            </w:pPr>
            <w:r>
              <w:rPr>
                <w:rFonts w:hint="eastAsia"/>
                <w:b/>
                <w:bCs/>
              </w:rPr>
              <w:t>服务招标</w:t>
            </w:r>
          </w:p>
        </w:tc>
        <w:tc>
          <w:tcPr>
            <w:tcW w:w="1896" w:type="dxa"/>
            <w:noWrap w:val="0"/>
            <w:vAlign w:val="center"/>
          </w:tcPr>
          <w:p>
            <w:pPr>
              <w:rPr>
                <w:rFonts w:hint="eastAsia"/>
                <w:b/>
                <w:bCs/>
              </w:rPr>
            </w:pPr>
            <w:r>
              <w:rPr>
                <w:rFonts w:hint="eastAsia"/>
                <w:b/>
                <w:bCs/>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860" w:type="dxa"/>
            <w:noWrap w:val="0"/>
            <w:vAlign w:val="top"/>
          </w:tcPr>
          <w:p>
            <w:pPr>
              <w:rPr>
                <w:rFonts w:hint="eastAsia"/>
              </w:rPr>
            </w:pPr>
            <w:r>
              <w:rPr>
                <w:rFonts w:hint="eastAsia"/>
              </w:rPr>
              <w:t>100以下</w:t>
            </w:r>
          </w:p>
        </w:tc>
        <w:tc>
          <w:tcPr>
            <w:tcW w:w="1980" w:type="dxa"/>
            <w:noWrap w:val="0"/>
            <w:vAlign w:val="top"/>
          </w:tcPr>
          <w:p>
            <w:pPr>
              <w:rPr>
                <w:rFonts w:hint="eastAsia"/>
              </w:rPr>
            </w:pPr>
            <w:r>
              <w:rPr>
                <w:rFonts w:hint="eastAsia"/>
              </w:rPr>
              <w:t>1.5%</w:t>
            </w:r>
          </w:p>
        </w:tc>
        <w:tc>
          <w:tcPr>
            <w:tcW w:w="1980" w:type="dxa"/>
            <w:noWrap w:val="0"/>
            <w:vAlign w:val="top"/>
          </w:tcPr>
          <w:p>
            <w:pPr>
              <w:rPr>
                <w:rFonts w:hint="eastAsia"/>
              </w:rPr>
            </w:pPr>
            <w:r>
              <w:rPr>
                <w:rFonts w:hint="eastAsia"/>
              </w:rPr>
              <w:t>1.5%</w:t>
            </w:r>
          </w:p>
        </w:tc>
        <w:tc>
          <w:tcPr>
            <w:tcW w:w="1896" w:type="dxa"/>
            <w:noWrap w:val="0"/>
            <w:vAlign w:val="top"/>
          </w:tcPr>
          <w:p>
            <w:pPr>
              <w:rPr>
                <w:rFonts w:hint="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0" w:type="dxa"/>
            <w:noWrap w:val="0"/>
            <w:vAlign w:val="top"/>
          </w:tcPr>
          <w:p>
            <w:pPr>
              <w:rPr>
                <w:rFonts w:hint="eastAsia"/>
              </w:rPr>
            </w:pPr>
            <w:r>
              <w:rPr>
                <w:rFonts w:hint="eastAsia"/>
              </w:rPr>
              <w:t>100-500</w:t>
            </w:r>
          </w:p>
        </w:tc>
        <w:tc>
          <w:tcPr>
            <w:tcW w:w="1980" w:type="dxa"/>
            <w:noWrap w:val="0"/>
            <w:vAlign w:val="top"/>
          </w:tcPr>
          <w:p>
            <w:pPr>
              <w:rPr>
                <w:rFonts w:hint="eastAsia"/>
              </w:rPr>
            </w:pPr>
            <w:r>
              <w:rPr>
                <w:rFonts w:hint="eastAsia"/>
              </w:rPr>
              <w:t>1.1%</w:t>
            </w:r>
          </w:p>
        </w:tc>
        <w:tc>
          <w:tcPr>
            <w:tcW w:w="1980" w:type="dxa"/>
            <w:noWrap w:val="0"/>
            <w:vAlign w:val="top"/>
          </w:tcPr>
          <w:p>
            <w:pPr>
              <w:rPr>
                <w:rFonts w:hint="eastAsia"/>
              </w:rPr>
            </w:pPr>
            <w:r>
              <w:rPr>
                <w:rFonts w:hint="eastAsia"/>
              </w:rPr>
              <w:t>0.8%</w:t>
            </w:r>
          </w:p>
        </w:tc>
        <w:tc>
          <w:tcPr>
            <w:tcW w:w="1896" w:type="dxa"/>
            <w:noWrap w:val="0"/>
            <w:vAlign w:val="top"/>
          </w:tcPr>
          <w:p>
            <w:pPr>
              <w:rPr>
                <w:rFonts w:hint="eastAsia"/>
              </w:rP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0" w:type="dxa"/>
            <w:noWrap w:val="0"/>
            <w:vAlign w:val="top"/>
          </w:tcPr>
          <w:p>
            <w:pPr>
              <w:rPr>
                <w:rFonts w:hint="eastAsia"/>
              </w:rPr>
            </w:pPr>
            <w:r>
              <w:rPr>
                <w:rFonts w:hint="eastAsia"/>
              </w:rPr>
              <w:t>500-1000</w:t>
            </w:r>
          </w:p>
        </w:tc>
        <w:tc>
          <w:tcPr>
            <w:tcW w:w="1980" w:type="dxa"/>
            <w:noWrap w:val="0"/>
            <w:vAlign w:val="top"/>
          </w:tcPr>
          <w:p>
            <w:pPr>
              <w:rPr>
                <w:rFonts w:hint="eastAsia"/>
              </w:rPr>
            </w:pPr>
            <w:r>
              <w:rPr>
                <w:rFonts w:hint="eastAsia"/>
              </w:rPr>
              <w:t>0.8%</w:t>
            </w:r>
          </w:p>
        </w:tc>
        <w:tc>
          <w:tcPr>
            <w:tcW w:w="1980" w:type="dxa"/>
            <w:noWrap w:val="0"/>
            <w:vAlign w:val="top"/>
          </w:tcPr>
          <w:p>
            <w:pPr>
              <w:rPr>
                <w:rFonts w:hint="eastAsia"/>
              </w:rPr>
            </w:pPr>
            <w:r>
              <w:rPr>
                <w:rFonts w:hint="eastAsia"/>
              </w:rPr>
              <w:t>0.45%</w:t>
            </w:r>
          </w:p>
        </w:tc>
        <w:tc>
          <w:tcPr>
            <w:tcW w:w="1896" w:type="dxa"/>
            <w:noWrap w:val="0"/>
            <w:vAlign w:val="top"/>
          </w:tcPr>
          <w:p>
            <w:pPr>
              <w:rPr>
                <w:rFonts w:hint="eastAsia"/>
              </w:rP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0" w:type="dxa"/>
            <w:noWrap w:val="0"/>
            <w:vAlign w:val="top"/>
          </w:tcPr>
          <w:p>
            <w:pPr>
              <w:rPr>
                <w:rFonts w:hint="eastAsia"/>
              </w:rPr>
            </w:pPr>
            <w:r>
              <w:rPr>
                <w:rFonts w:hint="eastAsia"/>
              </w:rPr>
              <w:t>1000-5000</w:t>
            </w:r>
          </w:p>
        </w:tc>
        <w:tc>
          <w:tcPr>
            <w:tcW w:w="1980" w:type="dxa"/>
            <w:noWrap w:val="0"/>
            <w:vAlign w:val="top"/>
          </w:tcPr>
          <w:p>
            <w:pPr>
              <w:rPr>
                <w:rFonts w:hint="eastAsia"/>
              </w:rPr>
            </w:pPr>
            <w:r>
              <w:rPr>
                <w:rFonts w:hint="eastAsia"/>
              </w:rPr>
              <w:t>0.5%</w:t>
            </w:r>
          </w:p>
        </w:tc>
        <w:tc>
          <w:tcPr>
            <w:tcW w:w="1980" w:type="dxa"/>
            <w:noWrap w:val="0"/>
            <w:vAlign w:val="top"/>
          </w:tcPr>
          <w:p>
            <w:pPr>
              <w:rPr>
                <w:rFonts w:hint="eastAsia"/>
              </w:rPr>
            </w:pPr>
            <w:r>
              <w:rPr>
                <w:rFonts w:hint="eastAsia"/>
              </w:rPr>
              <w:t>0.25%</w:t>
            </w:r>
          </w:p>
        </w:tc>
        <w:tc>
          <w:tcPr>
            <w:tcW w:w="1896" w:type="dxa"/>
            <w:noWrap w:val="0"/>
            <w:vAlign w:val="top"/>
          </w:tcPr>
          <w:p>
            <w:pPr>
              <w:rPr>
                <w:rFonts w:hint="eastAsia"/>
              </w:rP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0" w:type="dxa"/>
            <w:noWrap w:val="0"/>
            <w:vAlign w:val="top"/>
          </w:tcPr>
          <w:p>
            <w:pPr>
              <w:rPr>
                <w:rFonts w:hint="eastAsia"/>
              </w:rPr>
            </w:pPr>
            <w:r>
              <w:rPr>
                <w:rFonts w:hint="eastAsia"/>
              </w:rPr>
              <w:t>5000-10000</w:t>
            </w:r>
          </w:p>
        </w:tc>
        <w:tc>
          <w:tcPr>
            <w:tcW w:w="1980" w:type="dxa"/>
            <w:noWrap w:val="0"/>
            <w:vAlign w:val="top"/>
          </w:tcPr>
          <w:p>
            <w:pPr>
              <w:rPr>
                <w:rFonts w:hint="eastAsia"/>
              </w:rPr>
            </w:pPr>
            <w:r>
              <w:rPr>
                <w:rFonts w:hint="eastAsia"/>
              </w:rPr>
              <w:t>0.25%</w:t>
            </w:r>
          </w:p>
        </w:tc>
        <w:tc>
          <w:tcPr>
            <w:tcW w:w="1980" w:type="dxa"/>
            <w:noWrap w:val="0"/>
            <w:vAlign w:val="top"/>
          </w:tcPr>
          <w:p>
            <w:pPr>
              <w:rPr>
                <w:rFonts w:hint="eastAsia"/>
              </w:rPr>
            </w:pPr>
            <w:r>
              <w:rPr>
                <w:rFonts w:hint="eastAsia"/>
              </w:rPr>
              <w:t>0.1%</w:t>
            </w:r>
          </w:p>
        </w:tc>
        <w:tc>
          <w:tcPr>
            <w:tcW w:w="1896" w:type="dxa"/>
            <w:noWrap w:val="0"/>
            <w:vAlign w:val="top"/>
          </w:tcPr>
          <w:p>
            <w:pPr>
              <w:rPr>
                <w:rFonts w:hint="eastAsia"/>
              </w:rP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0" w:type="dxa"/>
            <w:noWrap w:val="0"/>
            <w:vAlign w:val="top"/>
          </w:tcPr>
          <w:p>
            <w:pPr>
              <w:rPr>
                <w:rFonts w:hint="eastAsia"/>
              </w:rPr>
            </w:pPr>
            <w:r>
              <w:rPr>
                <w:rFonts w:hint="eastAsia"/>
              </w:rPr>
              <w:t>10000-100000</w:t>
            </w:r>
          </w:p>
        </w:tc>
        <w:tc>
          <w:tcPr>
            <w:tcW w:w="1980" w:type="dxa"/>
            <w:noWrap w:val="0"/>
            <w:vAlign w:val="top"/>
          </w:tcPr>
          <w:p>
            <w:pPr>
              <w:rPr>
                <w:rFonts w:hint="eastAsia"/>
              </w:rPr>
            </w:pPr>
            <w:r>
              <w:rPr>
                <w:rFonts w:hint="eastAsia"/>
              </w:rPr>
              <w:t>0.05%</w:t>
            </w:r>
          </w:p>
        </w:tc>
        <w:tc>
          <w:tcPr>
            <w:tcW w:w="1980" w:type="dxa"/>
            <w:noWrap w:val="0"/>
            <w:vAlign w:val="top"/>
          </w:tcPr>
          <w:p>
            <w:pPr>
              <w:rPr>
                <w:rFonts w:hint="eastAsia"/>
              </w:rPr>
            </w:pPr>
            <w:r>
              <w:rPr>
                <w:rFonts w:hint="eastAsia"/>
              </w:rPr>
              <w:t>0.05%</w:t>
            </w:r>
          </w:p>
        </w:tc>
        <w:tc>
          <w:tcPr>
            <w:tcW w:w="1896" w:type="dxa"/>
            <w:noWrap w:val="0"/>
            <w:vAlign w:val="top"/>
          </w:tcPr>
          <w:p>
            <w:pPr>
              <w:rPr>
                <w:rFonts w:hint="eastAsia"/>
              </w:rP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0" w:type="dxa"/>
            <w:noWrap w:val="0"/>
            <w:vAlign w:val="top"/>
          </w:tcPr>
          <w:p>
            <w:pPr>
              <w:rPr>
                <w:rFonts w:hint="eastAsia"/>
              </w:rPr>
            </w:pPr>
            <w:r>
              <w:rPr>
                <w:rFonts w:hint="eastAsia"/>
              </w:rPr>
              <w:t>1000000以上</w:t>
            </w:r>
          </w:p>
        </w:tc>
        <w:tc>
          <w:tcPr>
            <w:tcW w:w="1980" w:type="dxa"/>
            <w:noWrap w:val="0"/>
            <w:vAlign w:val="top"/>
          </w:tcPr>
          <w:p>
            <w:pPr>
              <w:rPr>
                <w:rFonts w:hint="eastAsia"/>
              </w:rPr>
            </w:pPr>
            <w:r>
              <w:rPr>
                <w:rFonts w:hint="eastAsia"/>
              </w:rPr>
              <w:t>0.01%</w:t>
            </w:r>
          </w:p>
        </w:tc>
        <w:tc>
          <w:tcPr>
            <w:tcW w:w="1980" w:type="dxa"/>
            <w:noWrap w:val="0"/>
            <w:vAlign w:val="top"/>
          </w:tcPr>
          <w:p>
            <w:pPr>
              <w:rPr>
                <w:rFonts w:hint="eastAsia"/>
              </w:rPr>
            </w:pPr>
            <w:r>
              <w:rPr>
                <w:rFonts w:hint="eastAsia"/>
              </w:rPr>
              <w:t>0.01%</w:t>
            </w:r>
          </w:p>
        </w:tc>
        <w:tc>
          <w:tcPr>
            <w:tcW w:w="1896" w:type="dxa"/>
            <w:noWrap w:val="0"/>
            <w:vAlign w:val="top"/>
          </w:tcPr>
          <w:p>
            <w:pPr>
              <w:rPr>
                <w:rFonts w:hint="eastAsia"/>
              </w:rPr>
            </w:pPr>
            <w:r>
              <w:rPr>
                <w:rFonts w:hint="eastAsia"/>
              </w:rPr>
              <w:t>0.01%</w:t>
            </w:r>
          </w:p>
        </w:tc>
      </w:tr>
    </w:tbl>
    <w:p/>
    <w:p>
      <w:pPr>
        <w:rPr>
          <w:rFonts w:hint="eastAsia"/>
          <w:bCs/>
        </w:rPr>
      </w:pPr>
      <w:r>
        <w:rPr>
          <w:rFonts w:hint="eastAsia"/>
          <w:bCs/>
        </w:rPr>
        <w:t>2、招标代理服务收费以本表费率为基础。</w:t>
      </w:r>
    </w:p>
    <w:p/>
    <w:p/>
    <w:p/>
    <w:p/>
    <w:p>
      <w:pPr>
        <w:rPr>
          <w:rFonts w:hint="eastAsia"/>
        </w:rPr>
      </w:pPr>
    </w:p>
    <w:p>
      <w:pPr>
        <w:rPr>
          <w:rFonts w:hint="eastAsia"/>
        </w:rPr>
      </w:pPr>
    </w:p>
    <w:p>
      <w:pPr>
        <w:outlineLvl w:val="0"/>
        <w:rPr>
          <w:rFonts w:hint="eastAsia"/>
          <w:b/>
          <w:bCs/>
          <w:sz w:val="24"/>
          <w:szCs w:val="24"/>
          <w:highlight w:val="none"/>
        </w:rPr>
      </w:pPr>
      <w:bookmarkStart w:id="50" w:name="_Toc9329"/>
      <w:bookmarkStart w:id="51" w:name="_Toc1158"/>
      <w:r>
        <w:rPr>
          <w:rFonts w:hint="eastAsia"/>
          <w:b/>
          <w:bCs/>
          <w:sz w:val="24"/>
          <w:szCs w:val="24"/>
          <w:highlight w:val="none"/>
        </w:rPr>
        <w:t>格式七：采购代理方案</w:t>
      </w:r>
      <w:bookmarkEnd w:id="50"/>
      <w:bookmarkEnd w:id="51"/>
    </w:p>
    <w:p>
      <w:pPr>
        <w:rPr>
          <w:rFonts w:hint="eastAsia"/>
        </w:rPr>
      </w:pPr>
    </w:p>
    <w:p>
      <w:pPr>
        <w:pStyle w:val="2"/>
        <w:jc w:val="center"/>
        <w:rPr>
          <w:rFonts w:hint="eastAsia"/>
          <w:b w:val="0"/>
          <w:sz w:val="28"/>
          <w:szCs w:val="28"/>
        </w:rPr>
      </w:pPr>
      <w:bookmarkStart w:id="56" w:name="_GoBack"/>
      <w:bookmarkEnd w:id="56"/>
      <w:bookmarkStart w:id="52" w:name="_Toc2925"/>
      <w:bookmarkStart w:id="53" w:name="_Toc28250"/>
      <w:r>
        <w:rPr>
          <w:rFonts w:hint="eastAsia"/>
          <w:b w:val="0"/>
          <w:sz w:val="28"/>
          <w:szCs w:val="28"/>
          <w:highlight w:val="none"/>
        </w:rPr>
        <w:t>第</w:t>
      </w:r>
      <w:r>
        <w:rPr>
          <w:rFonts w:hint="eastAsia"/>
          <w:b w:val="0"/>
          <w:sz w:val="28"/>
          <w:szCs w:val="28"/>
          <w:highlight w:val="none"/>
          <w:lang w:val="en-US" w:eastAsia="zh-CN"/>
        </w:rPr>
        <w:t>三</w:t>
      </w:r>
      <w:r>
        <w:rPr>
          <w:rFonts w:hint="eastAsia"/>
          <w:b w:val="0"/>
          <w:sz w:val="28"/>
          <w:szCs w:val="28"/>
          <w:highlight w:val="none"/>
        </w:rPr>
        <w:t xml:space="preserve">章 </w:t>
      </w:r>
      <w:r>
        <w:rPr>
          <w:b w:val="0"/>
          <w:sz w:val="28"/>
          <w:szCs w:val="28"/>
          <w:highlight w:val="none"/>
        </w:rPr>
        <w:t xml:space="preserve"> </w:t>
      </w:r>
      <w:r>
        <w:rPr>
          <w:rFonts w:hint="eastAsia"/>
          <w:b w:val="0"/>
          <w:sz w:val="28"/>
          <w:szCs w:val="28"/>
          <w:highlight w:val="none"/>
        </w:rPr>
        <w:t>合同格式及合同条款</w:t>
      </w:r>
      <w:bookmarkEnd w:id="52"/>
      <w:bookmarkEnd w:id="53"/>
    </w:p>
    <w:p>
      <w:pPr>
        <w:ind w:firstLine="640"/>
        <w:jc w:val="center"/>
        <w:rPr>
          <w:rFonts w:hint="default" w:ascii="仿宋" w:hAnsi="仿宋" w:eastAsia="仿宋" w:cs="仿宋"/>
          <w:b/>
          <w:bCs/>
          <w:sz w:val="32"/>
          <w:szCs w:val="32"/>
          <w:lang w:val="en-US" w:eastAsia="zh-CN"/>
        </w:rPr>
      </w:pPr>
      <w:bookmarkStart w:id="54" w:name="_Toc568"/>
      <w:bookmarkStart w:id="55" w:name="_Toc24818"/>
      <w:r>
        <w:rPr>
          <w:rFonts w:hint="eastAsia" w:ascii="仿宋" w:hAnsi="仿宋" w:eastAsia="仿宋" w:cs="仿宋"/>
          <w:b/>
          <w:bCs/>
          <w:sz w:val="32"/>
          <w:szCs w:val="32"/>
          <w:lang w:val="en-US" w:eastAsia="zh-CN"/>
        </w:rPr>
        <w:t>采购代理委托协议</w:t>
      </w:r>
    </w:p>
    <w:p>
      <w:pPr>
        <w:rPr>
          <w:rFonts w:ascii="宋体" w:hAnsi="宋体" w:cs="宋体"/>
          <w:sz w:val="24"/>
          <w:szCs w:val="24"/>
        </w:rPr>
      </w:pP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国家体育总局体育</w:t>
      </w:r>
      <w:r>
        <w:rPr>
          <w:rFonts w:hint="eastAsia" w:ascii="宋体" w:hAnsi="宋体" w:cs="宋体"/>
          <w:sz w:val="24"/>
          <w:szCs w:val="24"/>
          <w:lang w:val="en-US" w:eastAsia="zh-CN"/>
        </w:rPr>
        <w:t>科学研究所</w:t>
      </w:r>
    </w:p>
    <w:p>
      <w:pPr>
        <w:spacing w:line="360" w:lineRule="auto"/>
        <w:ind w:firstLine="480" w:firstLineChars="200"/>
        <w:rPr>
          <w:rFonts w:ascii="宋体" w:hAnsi="宋体" w:cs="宋体"/>
          <w:sz w:val="24"/>
          <w:szCs w:val="24"/>
        </w:rPr>
      </w:pPr>
      <w:r>
        <w:rPr>
          <w:rFonts w:hint="eastAsia" w:ascii="宋体" w:hAnsi="宋体" w:cs="宋体"/>
          <w:sz w:val="24"/>
          <w:szCs w:val="24"/>
        </w:rPr>
        <w:t>地址：北京市</w:t>
      </w:r>
      <w:r>
        <w:rPr>
          <w:rFonts w:hint="eastAsia" w:ascii="宋体" w:hAnsi="宋体" w:cs="宋体"/>
          <w:sz w:val="24"/>
          <w:szCs w:val="24"/>
          <w:lang w:val="en-US" w:eastAsia="zh-CN"/>
        </w:rPr>
        <w:t>东城区体育馆路</w:t>
      </w:r>
      <w:r>
        <w:rPr>
          <w:rFonts w:hint="default" w:ascii="宋体" w:hAnsi="宋体" w:cs="宋体"/>
          <w:sz w:val="24"/>
          <w:szCs w:val="24"/>
          <w:lang w:val="en-US" w:eastAsia="zh-CN"/>
        </w:rPr>
        <w:t>11</w:t>
      </w:r>
      <w:r>
        <w:rPr>
          <w:rFonts w:hint="eastAsia" w:ascii="宋体" w:hAnsi="宋体" w:cs="宋体"/>
          <w:sz w:val="24"/>
          <w:szCs w:val="24"/>
        </w:rPr>
        <w:t>号</w:t>
      </w:r>
    </w:p>
    <w:p>
      <w:pPr>
        <w:spacing w:line="360" w:lineRule="auto"/>
        <w:ind w:firstLine="480" w:firstLineChars="200"/>
        <w:rPr>
          <w:rFonts w:ascii="宋体" w:hAnsi="宋体" w:cs="宋体"/>
          <w:sz w:val="24"/>
          <w:szCs w:val="24"/>
        </w:rPr>
      </w:pPr>
      <w:r>
        <w:rPr>
          <w:rFonts w:hint="eastAsia" w:ascii="宋体" w:hAnsi="宋体" w:cs="宋体"/>
          <w:sz w:val="24"/>
          <w:szCs w:val="24"/>
        </w:rPr>
        <w:t>法定代表人：</w:t>
      </w:r>
    </w:p>
    <w:p>
      <w:pPr>
        <w:spacing w:line="360" w:lineRule="auto"/>
        <w:ind w:firstLine="480" w:firstLineChars="200"/>
        <w:rPr>
          <w:rFonts w:ascii="宋体" w:hAnsi="宋体" w:cs="宋体"/>
          <w:sz w:val="24"/>
          <w:szCs w:val="24"/>
        </w:rPr>
      </w:pPr>
      <w:r>
        <w:rPr>
          <w:rFonts w:hint="eastAsia" w:ascii="宋体" w:hAnsi="宋体" w:cs="宋体"/>
          <w:sz w:val="24"/>
          <w:szCs w:val="24"/>
        </w:rPr>
        <w:t>联系电话：</w:t>
      </w:r>
    </w:p>
    <w:p>
      <w:pPr>
        <w:spacing w:line="360" w:lineRule="auto"/>
        <w:ind w:firstLine="480" w:firstLineChars="200"/>
        <w:rPr>
          <w:rFonts w:ascii="宋体" w:hAnsi="宋体" w:cs="宋体"/>
          <w:sz w:val="24"/>
          <w:szCs w:val="24"/>
        </w:rPr>
      </w:pPr>
      <w:r>
        <w:rPr>
          <w:rFonts w:hint="eastAsia" w:ascii="宋体" w:hAnsi="宋体" w:cs="宋体"/>
          <w:sz w:val="24"/>
          <w:szCs w:val="24"/>
        </w:rPr>
        <w:t>邮编：</w:t>
      </w:r>
    </w:p>
    <w:p>
      <w:pPr>
        <w:spacing w:line="360" w:lineRule="auto"/>
        <w:ind w:firstLine="480" w:firstLineChars="200"/>
        <w:rPr>
          <w:rFonts w:hint="eastAsia"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乙方：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地址： </w:t>
      </w:r>
    </w:p>
    <w:p>
      <w:pPr>
        <w:spacing w:line="360" w:lineRule="auto"/>
        <w:ind w:firstLine="480" w:firstLineChars="200"/>
        <w:rPr>
          <w:rFonts w:ascii="宋体" w:hAnsi="宋体" w:cs="宋体"/>
          <w:sz w:val="24"/>
          <w:szCs w:val="24"/>
        </w:rPr>
      </w:pPr>
      <w:r>
        <w:rPr>
          <w:rFonts w:hint="eastAsia" w:ascii="宋体" w:hAnsi="宋体" w:cs="宋体"/>
          <w:sz w:val="24"/>
          <w:szCs w:val="24"/>
        </w:rPr>
        <w:t>法定代表人：</w:t>
      </w:r>
    </w:p>
    <w:p>
      <w:pPr>
        <w:spacing w:line="360" w:lineRule="auto"/>
        <w:ind w:firstLine="480" w:firstLineChars="200"/>
        <w:rPr>
          <w:rFonts w:ascii="宋体" w:hAnsi="宋体" w:cs="宋体"/>
          <w:sz w:val="24"/>
          <w:szCs w:val="24"/>
        </w:rPr>
      </w:pPr>
      <w:r>
        <w:rPr>
          <w:rFonts w:hint="eastAsia" w:ascii="宋体" w:hAnsi="宋体" w:cs="宋体"/>
          <w:sz w:val="24"/>
          <w:szCs w:val="24"/>
        </w:rPr>
        <w:t>联系电话：</w:t>
      </w:r>
    </w:p>
    <w:p>
      <w:pPr>
        <w:spacing w:line="360" w:lineRule="auto"/>
        <w:ind w:firstLine="480" w:firstLineChars="200"/>
        <w:rPr>
          <w:rFonts w:ascii="宋体" w:hAnsi="宋体" w:cs="宋体"/>
          <w:sz w:val="24"/>
          <w:szCs w:val="24"/>
        </w:rPr>
      </w:pPr>
      <w:r>
        <w:rPr>
          <w:rFonts w:hint="eastAsia" w:ascii="宋体" w:hAnsi="宋体" w:cs="宋体"/>
          <w:sz w:val="24"/>
          <w:szCs w:val="24"/>
        </w:rPr>
        <w:t>邮编：</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甲、乙双方根据《中华人民共和国民法典》《中华人民共和国政府采购法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中华人民共和国招标投标法》《政府采购货物和服务招标投标管理办法》《政府采购非招标采购方式管理办法》等法律法规及其实施条例、办法，经友好协商，就</w:t>
      </w:r>
      <w:r>
        <w:rPr>
          <w:rFonts w:hint="eastAsia" w:ascii="宋体" w:hAnsi="宋体" w:cs="宋体"/>
          <w:sz w:val="24"/>
          <w:szCs w:val="24"/>
          <w:lang w:eastAsia="zh-CN"/>
        </w:rPr>
        <w:t>国家体育总局体育</w:t>
      </w:r>
      <w:r>
        <w:rPr>
          <w:rFonts w:hint="eastAsia" w:ascii="宋体" w:hAnsi="宋体" w:cs="宋体"/>
          <w:sz w:val="24"/>
          <w:szCs w:val="24"/>
          <w:lang w:val="en-US" w:eastAsia="zh-CN"/>
        </w:rPr>
        <w:t>科学研究所</w:t>
      </w:r>
      <w:r>
        <w:rPr>
          <w:rFonts w:hint="eastAsia" w:ascii="宋体" w:hAnsi="宋体" w:cs="宋体"/>
          <w:sz w:val="24"/>
          <w:szCs w:val="24"/>
          <w:highlight w:val="none"/>
          <w:lang w:val="en-US" w:eastAsia="zh-CN"/>
        </w:rPr>
        <w:t>的部分</w:t>
      </w:r>
      <w:r>
        <w:rPr>
          <w:rFonts w:hint="eastAsia" w:ascii="宋体" w:hAnsi="宋体" w:cs="宋体"/>
          <w:sz w:val="24"/>
          <w:szCs w:val="24"/>
          <w:highlight w:val="none"/>
        </w:rPr>
        <w:t>货物、服务及工程项目</w:t>
      </w:r>
      <w:r>
        <w:rPr>
          <w:rFonts w:hint="eastAsia" w:ascii="宋体" w:hAnsi="宋体" w:cs="宋体"/>
          <w:sz w:val="24"/>
          <w:szCs w:val="24"/>
        </w:rPr>
        <w:t>采购代理委托事宜达成协议：</w:t>
      </w:r>
    </w:p>
    <w:p>
      <w:pPr>
        <w:spacing w:line="360" w:lineRule="auto"/>
        <w:ind w:firstLine="480" w:firstLineChars="200"/>
        <w:rPr>
          <w:rFonts w:ascii="宋体" w:hAnsi="宋体" w:cs="宋体"/>
          <w:sz w:val="24"/>
          <w:szCs w:val="24"/>
        </w:rPr>
      </w:pPr>
      <w:r>
        <w:rPr>
          <w:rFonts w:hint="eastAsia" w:ascii="宋体" w:hAnsi="宋体" w:cs="宋体"/>
          <w:sz w:val="24"/>
          <w:szCs w:val="24"/>
        </w:rPr>
        <w:t>第一条、总则</w:t>
      </w:r>
    </w:p>
    <w:p>
      <w:pPr>
        <w:spacing w:line="360" w:lineRule="auto"/>
        <w:ind w:firstLine="480" w:firstLineChars="200"/>
        <w:rPr>
          <w:rFonts w:ascii="宋体" w:hAnsi="宋体" w:cs="宋体"/>
          <w:sz w:val="24"/>
          <w:szCs w:val="24"/>
        </w:rPr>
      </w:pPr>
      <w:r>
        <w:rPr>
          <w:rFonts w:hint="eastAsia" w:ascii="宋体" w:hAnsi="宋体" w:cs="宋体"/>
          <w:sz w:val="24"/>
          <w:szCs w:val="24"/>
        </w:rPr>
        <w:t>1.甲方委托乙方作为项目的采购代理，乙方同意接受甲方的委托。</w:t>
      </w:r>
    </w:p>
    <w:p>
      <w:pPr>
        <w:spacing w:line="360" w:lineRule="auto"/>
        <w:ind w:firstLine="480" w:firstLineChars="200"/>
        <w:rPr>
          <w:rFonts w:ascii="宋体" w:hAnsi="宋体" w:cs="宋体"/>
          <w:sz w:val="24"/>
          <w:szCs w:val="24"/>
        </w:rPr>
      </w:pPr>
      <w:r>
        <w:rPr>
          <w:rFonts w:hint="eastAsia" w:ascii="宋体" w:hAnsi="宋体" w:cs="宋体"/>
          <w:sz w:val="24"/>
          <w:szCs w:val="24"/>
        </w:rPr>
        <w:t>2.甲乙双方应认真贯彻国家有关方针和政策；在采购活动过程中，甲乙双方必须严格遵守国家相关法律法规和规章制度，均有责任和义务对保密信息予以保密。</w:t>
      </w:r>
    </w:p>
    <w:p>
      <w:pPr>
        <w:spacing w:line="360" w:lineRule="auto"/>
        <w:ind w:firstLine="480" w:firstLineChars="200"/>
        <w:rPr>
          <w:rFonts w:ascii="宋体" w:hAnsi="宋体" w:cs="宋体"/>
          <w:sz w:val="24"/>
          <w:szCs w:val="24"/>
        </w:rPr>
      </w:pPr>
      <w:r>
        <w:rPr>
          <w:rFonts w:hint="eastAsia" w:ascii="宋体" w:hAnsi="宋体" w:cs="宋体"/>
          <w:sz w:val="24"/>
          <w:szCs w:val="24"/>
        </w:rPr>
        <w:t>3.甲乙双方应在相互信任、平等互利的基础上，密切配合，分工协作，充分发挥各自优势，尽量降低采购成本，共同做好项目的采购工作；在采购工作过程中，坚持公开透明、公平竞争、公正和诚实信用的原则，努力实现采购工作的经济性、效益性和可靠性。</w:t>
      </w:r>
    </w:p>
    <w:p>
      <w:pPr>
        <w:spacing w:line="360" w:lineRule="auto"/>
        <w:ind w:firstLine="480" w:firstLineChars="200"/>
        <w:rPr>
          <w:rFonts w:ascii="宋体" w:hAnsi="宋体" w:cs="宋体"/>
          <w:sz w:val="24"/>
          <w:szCs w:val="24"/>
        </w:rPr>
      </w:pPr>
      <w:r>
        <w:rPr>
          <w:rFonts w:hint="eastAsia" w:ascii="宋体" w:hAnsi="宋体" w:cs="宋体"/>
          <w:sz w:val="24"/>
          <w:szCs w:val="24"/>
        </w:rPr>
        <w:t>4甲乙双方应加强沟通，积极配合；甲方应为乙方开展项目采购代理业务提供技术需求及相关资料，乙方应为甲方提供合法、优质、高效和价格合理的服务；在法律法规和采购程序允许的前提下，加快推进采购进程，充分发挥乙方的专业知识和商务经验做好项目的采购代理工作，切实维护甲方的合法权益。</w:t>
      </w:r>
    </w:p>
    <w:p>
      <w:pPr>
        <w:spacing w:line="360" w:lineRule="auto"/>
        <w:ind w:firstLine="480" w:firstLineChars="200"/>
        <w:rPr>
          <w:rFonts w:ascii="宋体" w:hAnsi="宋体" w:cs="宋体"/>
          <w:sz w:val="24"/>
          <w:szCs w:val="24"/>
        </w:rPr>
      </w:pPr>
      <w:r>
        <w:rPr>
          <w:rFonts w:hint="eastAsia" w:ascii="宋体" w:hAnsi="宋体" w:cs="宋体"/>
          <w:sz w:val="24"/>
          <w:szCs w:val="24"/>
        </w:rPr>
        <w:t>第二条、委托代理的范围</w:t>
      </w:r>
    </w:p>
    <w:p>
      <w:pPr>
        <w:spacing w:line="360" w:lineRule="auto"/>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国家体育总局体育</w:t>
      </w:r>
      <w:r>
        <w:rPr>
          <w:rFonts w:hint="eastAsia" w:ascii="宋体" w:hAnsi="宋体" w:cs="宋体"/>
          <w:sz w:val="24"/>
          <w:szCs w:val="24"/>
          <w:lang w:val="en-US" w:eastAsia="zh-CN"/>
        </w:rPr>
        <w:t>科学研究所</w:t>
      </w:r>
      <w:r>
        <w:rPr>
          <w:rFonts w:hint="eastAsia" w:ascii="宋体" w:hAnsi="宋体" w:cs="宋体"/>
          <w:sz w:val="24"/>
          <w:szCs w:val="24"/>
        </w:rPr>
        <w:t>部分货物、服务及工程采购代理服务项目</w:t>
      </w:r>
    </w:p>
    <w:p>
      <w:pPr>
        <w:spacing w:line="360" w:lineRule="auto"/>
        <w:ind w:firstLine="480" w:firstLineChars="200"/>
        <w:rPr>
          <w:rFonts w:ascii="宋体" w:hAnsi="宋体" w:cs="宋体"/>
          <w:sz w:val="24"/>
          <w:szCs w:val="24"/>
        </w:rPr>
      </w:pPr>
      <w:r>
        <w:rPr>
          <w:rFonts w:hint="eastAsia" w:ascii="宋体" w:hAnsi="宋体" w:cs="宋体"/>
          <w:sz w:val="24"/>
          <w:szCs w:val="24"/>
        </w:rPr>
        <w:t>服务期限：签订合同之日起</w:t>
      </w:r>
      <w:r>
        <w:rPr>
          <w:rFonts w:hint="eastAsia" w:ascii="宋体" w:hAnsi="宋体" w:cs="宋体"/>
          <w:sz w:val="24"/>
          <w:szCs w:val="24"/>
          <w:lang w:val="en-US" w:eastAsia="zh-CN"/>
        </w:rPr>
        <w:t>三</w:t>
      </w:r>
      <w:r>
        <w:rPr>
          <w:rFonts w:hint="eastAsia" w:ascii="宋体" w:hAnsi="宋体" w:cs="宋体"/>
          <w:sz w:val="24"/>
          <w:szCs w:val="24"/>
        </w:rPr>
        <w:t>年</w:t>
      </w:r>
    </w:p>
    <w:p>
      <w:pPr>
        <w:spacing w:line="360" w:lineRule="auto"/>
        <w:ind w:firstLine="480" w:firstLineChars="200"/>
        <w:rPr>
          <w:rFonts w:ascii="宋体" w:hAnsi="宋体" w:cs="宋体"/>
          <w:sz w:val="24"/>
          <w:szCs w:val="24"/>
        </w:rPr>
      </w:pPr>
      <w:r>
        <w:rPr>
          <w:rFonts w:hint="eastAsia" w:ascii="宋体" w:hAnsi="宋体" w:cs="宋体"/>
          <w:sz w:val="24"/>
          <w:szCs w:val="24"/>
        </w:rPr>
        <w:t>甲方委托乙方作为此项目的采购代理机构，乙方接受甲方的委托，双方建立委托代理关系。具体工作内容和职责内容详见本协议第三条“双方职责”。</w:t>
      </w:r>
    </w:p>
    <w:p>
      <w:pPr>
        <w:spacing w:line="360" w:lineRule="auto"/>
        <w:ind w:firstLine="480" w:firstLineChars="200"/>
        <w:rPr>
          <w:rFonts w:ascii="宋体" w:hAnsi="宋体" w:cs="宋体"/>
          <w:sz w:val="24"/>
          <w:szCs w:val="24"/>
        </w:rPr>
      </w:pPr>
      <w:r>
        <w:rPr>
          <w:rFonts w:hint="eastAsia" w:ascii="宋体" w:hAnsi="宋体" w:cs="宋体"/>
          <w:sz w:val="24"/>
          <w:szCs w:val="24"/>
        </w:rPr>
        <w:t>第三条、双方职责</w:t>
      </w:r>
    </w:p>
    <w:p>
      <w:pPr>
        <w:spacing w:line="360" w:lineRule="auto"/>
        <w:ind w:firstLine="480" w:firstLineChars="200"/>
        <w:rPr>
          <w:rFonts w:ascii="宋体" w:hAnsi="宋体" w:cs="宋体"/>
          <w:sz w:val="24"/>
          <w:szCs w:val="24"/>
        </w:rPr>
      </w:pPr>
      <w:r>
        <w:rPr>
          <w:rFonts w:hint="eastAsia" w:ascii="宋体" w:hAnsi="宋体" w:cs="宋体"/>
          <w:sz w:val="24"/>
          <w:szCs w:val="24"/>
        </w:rPr>
        <w:t>1.甲方职责</w:t>
      </w:r>
    </w:p>
    <w:p>
      <w:pPr>
        <w:spacing w:line="360" w:lineRule="auto"/>
        <w:ind w:firstLine="480" w:firstLineChars="200"/>
        <w:rPr>
          <w:rFonts w:ascii="宋体" w:hAnsi="宋体" w:cs="宋体"/>
          <w:sz w:val="24"/>
          <w:szCs w:val="24"/>
        </w:rPr>
      </w:pPr>
      <w:r>
        <w:rPr>
          <w:rFonts w:hint="eastAsia" w:ascii="宋体" w:hAnsi="宋体" w:cs="宋体"/>
          <w:sz w:val="24"/>
          <w:szCs w:val="24"/>
        </w:rPr>
        <w:t>1.1 甲方是本项目的采购人，负责落实项目资金的按时到位。负责办理项目必需的国家相关主管部门的审批手续，保证审批手续的完备。并按照《中华人民共和国招标投标法》《中华人民共和国政府采购法》的有关规定，依据评标结果与中标人/成交人签署具体采购合同。</w:t>
      </w:r>
    </w:p>
    <w:p>
      <w:pPr>
        <w:spacing w:line="360" w:lineRule="auto"/>
        <w:ind w:firstLine="480" w:firstLineChars="200"/>
        <w:rPr>
          <w:rFonts w:ascii="宋体" w:hAnsi="宋体" w:cs="宋体"/>
          <w:sz w:val="24"/>
          <w:szCs w:val="24"/>
        </w:rPr>
      </w:pPr>
      <w:r>
        <w:rPr>
          <w:rFonts w:hint="eastAsia" w:ascii="宋体" w:hAnsi="宋体" w:cs="宋体"/>
          <w:sz w:val="24"/>
          <w:szCs w:val="24"/>
        </w:rPr>
        <w:t>1.2 根据有关法规、条例的相关规定，并结合本项目的实施进度要求，明确采购方式并提出具体的采购任务计划。</w:t>
      </w:r>
    </w:p>
    <w:p>
      <w:pPr>
        <w:spacing w:line="360" w:lineRule="auto"/>
        <w:ind w:firstLine="480" w:firstLineChars="200"/>
        <w:rPr>
          <w:rFonts w:ascii="宋体" w:hAnsi="宋体" w:cs="宋体"/>
          <w:sz w:val="24"/>
          <w:szCs w:val="24"/>
        </w:rPr>
      </w:pPr>
      <w:r>
        <w:rPr>
          <w:rFonts w:hint="eastAsia" w:ascii="宋体" w:hAnsi="宋体" w:cs="宋体"/>
          <w:sz w:val="24"/>
          <w:szCs w:val="24"/>
        </w:rPr>
        <w:t>1.3 负责向国家和有关主管部门报批项目开始采购的有关审批手续。</w:t>
      </w:r>
    </w:p>
    <w:p>
      <w:pPr>
        <w:spacing w:line="360" w:lineRule="auto"/>
        <w:ind w:firstLine="480" w:firstLineChars="200"/>
        <w:rPr>
          <w:rFonts w:ascii="宋体" w:hAnsi="宋体" w:cs="宋体"/>
          <w:sz w:val="24"/>
          <w:szCs w:val="24"/>
        </w:rPr>
      </w:pPr>
      <w:r>
        <w:rPr>
          <w:rFonts w:hint="eastAsia" w:ascii="宋体" w:hAnsi="宋体" w:cs="宋体"/>
          <w:sz w:val="24"/>
          <w:szCs w:val="24"/>
        </w:rPr>
        <w:t>1.4 负责组织编写采购文件的技术部分，负责答复和澄清投标人就采购文件技术部分提出的问题。需要时协助乙方组织召开标前会，并负责解答投标人提出的相关技术问题。</w:t>
      </w:r>
    </w:p>
    <w:p>
      <w:pPr>
        <w:spacing w:line="360" w:lineRule="auto"/>
        <w:ind w:firstLine="480" w:firstLineChars="200"/>
        <w:rPr>
          <w:rFonts w:ascii="宋体" w:hAnsi="宋体" w:cs="宋体"/>
          <w:sz w:val="24"/>
          <w:szCs w:val="24"/>
        </w:rPr>
      </w:pPr>
      <w:r>
        <w:rPr>
          <w:rFonts w:hint="eastAsia" w:ascii="宋体" w:hAnsi="宋体" w:cs="宋体"/>
          <w:sz w:val="24"/>
          <w:szCs w:val="24"/>
        </w:rPr>
        <w:t>1.5 依据有关规定与乙方共同组织评标委员会、制订评标办法。根据评标委员会的中标/成交推荐意见确定评标结果。</w:t>
      </w:r>
    </w:p>
    <w:p>
      <w:pPr>
        <w:spacing w:line="360" w:lineRule="auto"/>
        <w:ind w:firstLine="480" w:firstLineChars="200"/>
        <w:rPr>
          <w:rFonts w:ascii="宋体" w:hAnsi="宋体" w:cs="宋体"/>
          <w:sz w:val="24"/>
          <w:szCs w:val="24"/>
        </w:rPr>
      </w:pPr>
      <w:r>
        <w:rPr>
          <w:rFonts w:hint="eastAsia" w:ascii="宋体" w:hAnsi="宋体" w:cs="宋体"/>
          <w:sz w:val="24"/>
          <w:szCs w:val="24"/>
        </w:rPr>
        <w:t>1.6 支付评标委员会专家费。</w:t>
      </w:r>
    </w:p>
    <w:p>
      <w:pPr>
        <w:spacing w:line="360" w:lineRule="auto"/>
        <w:ind w:firstLine="480" w:firstLineChars="200"/>
        <w:rPr>
          <w:rFonts w:ascii="宋体" w:hAnsi="宋体" w:cs="宋体"/>
          <w:sz w:val="24"/>
          <w:szCs w:val="24"/>
        </w:rPr>
      </w:pPr>
      <w:r>
        <w:rPr>
          <w:rFonts w:hint="eastAsia" w:ascii="宋体" w:hAnsi="宋体" w:cs="宋体"/>
          <w:sz w:val="24"/>
          <w:szCs w:val="24"/>
        </w:rPr>
        <w:t>1.7 负责向有关主管部门报送评标报告，如需要，向主管部门汇报评标的技术情况，澄清技术方面的问题。</w:t>
      </w:r>
    </w:p>
    <w:p>
      <w:pPr>
        <w:spacing w:line="360" w:lineRule="auto"/>
        <w:ind w:firstLine="480" w:firstLineChars="200"/>
        <w:rPr>
          <w:rFonts w:ascii="宋体" w:hAnsi="宋体" w:cs="宋体"/>
          <w:sz w:val="24"/>
          <w:szCs w:val="24"/>
        </w:rPr>
      </w:pPr>
      <w:r>
        <w:rPr>
          <w:rFonts w:hint="eastAsia" w:ascii="宋体" w:hAnsi="宋体" w:cs="宋体"/>
          <w:sz w:val="24"/>
          <w:szCs w:val="24"/>
        </w:rPr>
        <w:t>1.8 办理其他应由甲方负责的事宜。</w:t>
      </w:r>
    </w:p>
    <w:p>
      <w:pPr>
        <w:spacing w:line="360" w:lineRule="auto"/>
        <w:ind w:firstLine="480" w:firstLineChars="200"/>
        <w:rPr>
          <w:rFonts w:ascii="宋体" w:hAnsi="宋体" w:cs="宋体"/>
          <w:sz w:val="24"/>
          <w:szCs w:val="24"/>
        </w:rPr>
      </w:pPr>
      <w:r>
        <w:rPr>
          <w:rFonts w:hint="eastAsia" w:ascii="宋体" w:hAnsi="宋体" w:cs="宋体"/>
          <w:sz w:val="24"/>
          <w:szCs w:val="24"/>
        </w:rPr>
        <w:t>2. 乙方的职责</w:t>
      </w:r>
    </w:p>
    <w:p>
      <w:pPr>
        <w:spacing w:line="360" w:lineRule="auto"/>
        <w:ind w:firstLine="480" w:firstLineChars="200"/>
        <w:rPr>
          <w:rFonts w:ascii="宋体" w:hAnsi="宋体" w:cs="宋体"/>
          <w:sz w:val="24"/>
          <w:szCs w:val="24"/>
        </w:rPr>
      </w:pPr>
      <w:r>
        <w:rPr>
          <w:rFonts w:hint="eastAsia" w:ascii="宋体" w:hAnsi="宋体" w:cs="宋体"/>
          <w:sz w:val="24"/>
          <w:szCs w:val="24"/>
        </w:rPr>
        <w:t>2.1 乙方是具有政府采购代理能力的专业招标公司，负责组织本项目的招标采购工作，为甲方提供优质服务。乙方保证其为依法设立、从事招标代理业务并提供相关服务的社会中介组织，具备下列条件：</w:t>
      </w:r>
    </w:p>
    <w:p>
      <w:pPr>
        <w:spacing w:line="360" w:lineRule="auto"/>
        <w:ind w:firstLine="480" w:firstLineChars="200"/>
        <w:rPr>
          <w:rFonts w:ascii="宋体" w:hAnsi="宋体" w:cs="宋体"/>
          <w:sz w:val="24"/>
          <w:szCs w:val="24"/>
        </w:rPr>
      </w:pPr>
      <w:r>
        <w:rPr>
          <w:rFonts w:hint="eastAsia" w:ascii="宋体" w:hAnsi="宋体" w:cs="宋体"/>
          <w:sz w:val="24"/>
          <w:szCs w:val="24"/>
        </w:rPr>
        <w:t>（一）有从事招标代理业务的营业场所和相应资金及实践经验。</w:t>
      </w:r>
    </w:p>
    <w:p>
      <w:pPr>
        <w:spacing w:line="360" w:lineRule="auto"/>
        <w:ind w:firstLine="480" w:firstLineChars="200"/>
        <w:rPr>
          <w:rFonts w:ascii="宋体" w:hAnsi="宋体" w:cs="宋体"/>
          <w:sz w:val="24"/>
          <w:szCs w:val="24"/>
        </w:rPr>
      </w:pPr>
      <w:r>
        <w:rPr>
          <w:rFonts w:hint="eastAsia" w:ascii="宋体" w:hAnsi="宋体" w:cs="宋体"/>
          <w:sz w:val="24"/>
          <w:szCs w:val="24"/>
        </w:rPr>
        <w:t>（二）有能够编制招标文件和组织评标的相应专业队伍和能力。</w:t>
      </w:r>
    </w:p>
    <w:p>
      <w:pPr>
        <w:spacing w:line="360" w:lineRule="auto"/>
        <w:ind w:firstLine="480" w:firstLineChars="200"/>
        <w:rPr>
          <w:rFonts w:ascii="宋体" w:hAnsi="宋体" w:cs="宋体"/>
          <w:sz w:val="24"/>
          <w:szCs w:val="24"/>
        </w:rPr>
      </w:pPr>
      <w:r>
        <w:rPr>
          <w:rFonts w:hint="eastAsia" w:ascii="宋体" w:hAnsi="宋体" w:cs="宋体"/>
          <w:sz w:val="24"/>
          <w:szCs w:val="24"/>
        </w:rPr>
        <w:t>（三）有符合《中华人民共和国招标投标法》第三十七条规定条件、可以作为评标委员会成员人选的技术、经济等方面的专家库。</w:t>
      </w:r>
    </w:p>
    <w:p>
      <w:pPr>
        <w:spacing w:line="360" w:lineRule="auto"/>
        <w:ind w:firstLine="480" w:firstLineChars="200"/>
        <w:rPr>
          <w:rFonts w:ascii="宋体" w:hAnsi="宋体" w:cs="宋体"/>
          <w:sz w:val="24"/>
          <w:szCs w:val="24"/>
        </w:rPr>
      </w:pPr>
      <w:r>
        <w:rPr>
          <w:rFonts w:hint="eastAsia" w:ascii="宋体" w:hAnsi="宋体" w:cs="宋体"/>
          <w:sz w:val="24"/>
          <w:szCs w:val="24"/>
        </w:rPr>
        <w:t>（四）根据委托人招标代理业务的工作范围和内容，选择有足够招标经验的专职人员担任本招标项目负责人。</w:t>
      </w:r>
    </w:p>
    <w:p>
      <w:pPr>
        <w:spacing w:line="360" w:lineRule="auto"/>
        <w:ind w:firstLine="480" w:firstLineChars="200"/>
        <w:rPr>
          <w:rFonts w:ascii="宋体" w:hAnsi="宋体" w:cs="宋体"/>
          <w:sz w:val="24"/>
          <w:szCs w:val="24"/>
        </w:rPr>
      </w:pPr>
      <w:r>
        <w:rPr>
          <w:rFonts w:hint="eastAsia" w:ascii="宋体" w:hAnsi="宋体" w:cs="宋体"/>
          <w:sz w:val="24"/>
          <w:szCs w:val="24"/>
        </w:rPr>
        <w:t>2.2 根据甲方委托采购内容和采购方式，协助甲方完成采购需求调查和采购实施计划书编写等，负责组织编写采购文件的商务部分，依据甲方提供的技术资料协助甲方编写采购文件的技术部分，并负责采购文件各部分内容的汇总、衔接和定稿，并对采购文件的商务部分科学性和准确性负责，但最终应经甲方审验书面认可，甲方审核不合格的，乙方应当进行修改直至通过甲方审核为止，且不得超出甲方要求的期限。</w:t>
      </w:r>
    </w:p>
    <w:p>
      <w:pPr>
        <w:spacing w:line="360" w:lineRule="auto"/>
        <w:ind w:firstLine="480" w:firstLineChars="200"/>
        <w:rPr>
          <w:rFonts w:ascii="宋体" w:hAnsi="宋体" w:cs="宋体"/>
          <w:sz w:val="24"/>
          <w:szCs w:val="24"/>
        </w:rPr>
      </w:pPr>
      <w:r>
        <w:rPr>
          <w:rFonts w:hint="eastAsia" w:ascii="宋体" w:hAnsi="宋体" w:cs="宋体"/>
          <w:sz w:val="24"/>
          <w:szCs w:val="24"/>
        </w:rPr>
        <w:t>2.3 负责依法合规发布采购公告，印刷、装订、发售采购文件，费用由乙方承担。</w:t>
      </w:r>
    </w:p>
    <w:p>
      <w:pPr>
        <w:spacing w:line="360" w:lineRule="auto"/>
        <w:ind w:firstLine="480" w:firstLineChars="200"/>
        <w:rPr>
          <w:rFonts w:ascii="宋体" w:hAnsi="宋体" w:cs="宋体"/>
          <w:sz w:val="24"/>
          <w:szCs w:val="24"/>
        </w:rPr>
      </w:pPr>
      <w:r>
        <w:rPr>
          <w:rFonts w:hint="eastAsia" w:ascii="宋体" w:hAnsi="宋体" w:cs="宋体"/>
          <w:sz w:val="24"/>
          <w:szCs w:val="24"/>
        </w:rPr>
        <w:t>2.4 如需要，负责组织标前会，在甲方协助下，负责投标人就采购文件提出的有关问题的澄清和解释工作。</w:t>
      </w:r>
    </w:p>
    <w:p>
      <w:pPr>
        <w:spacing w:line="360" w:lineRule="auto"/>
        <w:ind w:firstLine="480" w:firstLineChars="200"/>
        <w:rPr>
          <w:rFonts w:ascii="宋体" w:hAnsi="宋体" w:cs="宋体"/>
          <w:sz w:val="24"/>
          <w:szCs w:val="24"/>
        </w:rPr>
      </w:pPr>
      <w:r>
        <w:rPr>
          <w:rFonts w:hint="eastAsia" w:ascii="宋体" w:hAnsi="宋体" w:cs="宋体"/>
          <w:sz w:val="24"/>
          <w:szCs w:val="24"/>
        </w:rPr>
        <w:t>2.5 如需要，负责向投标人发送采购文件的修改文件及补遗通知。</w:t>
      </w:r>
    </w:p>
    <w:p>
      <w:pPr>
        <w:spacing w:line="360" w:lineRule="auto"/>
        <w:ind w:firstLine="480" w:firstLineChars="200"/>
        <w:rPr>
          <w:rFonts w:ascii="宋体" w:hAnsi="宋体" w:cs="宋体"/>
          <w:sz w:val="24"/>
          <w:szCs w:val="24"/>
        </w:rPr>
      </w:pPr>
      <w:r>
        <w:rPr>
          <w:rFonts w:hint="eastAsia" w:ascii="宋体" w:hAnsi="宋体" w:cs="宋体"/>
          <w:sz w:val="24"/>
          <w:szCs w:val="24"/>
        </w:rPr>
        <w:t>2.6 负责接受投标人的投标及投标保证金，组织并主持开标，负责开标情况的记录和上报，乙方丢失投标方的投标文件所产生的损失均由乙方自行负责，乙方如将保证金挪作它用，除应当归还外，还应当向甲方支付挪用金额二倍的违约金，并赔偿甲方因此造成的全部损失。</w:t>
      </w:r>
    </w:p>
    <w:p>
      <w:pPr>
        <w:spacing w:line="360" w:lineRule="auto"/>
        <w:ind w:firstLine="480" w:firstLineChars="200"/>
        <w:rPr>
          <w:rFonts w:ascii="宋体" w:hAnsi="宋体" w:cs="宋体"/>
          <w:sz w:val="24"/>
          <w:szCs w:val="24"/>
        </w:rPr>
      </w:pPr>
      <w:r>
        <w:rPr>
          <w:rFonts w:hint="eastAsia" w:ascii="宋体" w:hAnsi="宋体" w:cs="宋体"/>
          <w:sz w:val="24"/>
          <w:szCs w:val="24"/>
        </w:rPr>
        <w:t>2.7 与甲方共同组织评标，负责评标中向投标人进行口头或书面澄清。</w:t>
      </w:r>
    </w:p>
    <w:p>
      <w:pPr>
        <w:spacing w:line="360" w:lineRule="auto"/>
        <w:ind w:firstLine="480" w:firstLineChars="200"/>
        <w:rPr>
          <w:rFonts w:ascii="宋体" w:hAnsi="宋体" w:cs="宋体"/>
          <w:sz w:val="24"/>
          <w:szCs w:val="24"/>
        </w:rPr>
      </w:pPr>
      <w:r>
        <w:rPr>
          <w:rFonts w:hint="eastAsia" w:ascii="宋体" w:hAnsi="宋体" w:cs="宋体"/>
          <w:sz w:val="24"/>
          <w:szCs w:val="24"/>
        </w:rPr>
        <w:t>2.8 负责编制评标报告，并应与甲方共同向有关主管部门报送评标报告，汇报评标结果，负责答复商务评标方面的问题。</w:t>
      </w:r>
    </w:p>
    <w:p>
      <w:pPr>
        <w:spacing w:line="360" w:lineRule="auto"/>
        <w:ind w:firstLine="480" w:firstLineChars="200"/>
        <w:rPr>
          <w:rFonts w:ascii="宋体" w:hAnsi="宋体" w:cs="宋体"/>
          <w:sz w:val="24"/>
          <w:szCs w:val="24"/>
        </w:rPr>
      </w:pPr>
      <w:r>
        <w:rPr>
          <w:rFonts w:hint="eastAsia" w:ascii="宋体" w:hAnsi="宋体" w:cs="宋体"/>
          <w:sz w:val="24"/>
          <w:szCs w:val="24"/>
        </w:rPr>
        <w:t>2.9 负责向中标人/成交人发出中标通知书/成交通知书。</w:t>
      </w:r>
    </w:p>
    <w:p>
      <w:pPr>
        <w:spacing w:line="360" w:lineRule="auto"/>
        <w:ind w:firstLine="480" w:firstLineChars="200"/>
        <w:rPr>
          <w:rFonts w:ascii="宋体" w:hAnsi="宋体" w:cs="宋体"/>
          <w:sz w:val="24"/>
          <w:szCs w:val="24"/>
        </w:rPr>
      </w:pPr>
      <w:r>
        <w:rPr>
          <w:rFonts w:hint="eastAsia" w:ascii="宋体" w:hAnsi="宋体" w:cs="宋体"/>
          <w:sz w:val="24"/>
          <w:szCs w:val="24"/>
        </w:rPr>
        <w:t>2.10 负责组织原评标委员会、竞争性谈判小组、询价小组或者竞争性磋商小组协助甲方答复供应商质疑。</w:t>
      </w:r>
    </w:p>
    <w:p>
      <w:pPr>
        <w:spacing w:line="360" w:lineRule="auto"/>
        <w:ind w:firstLine="480" w:firstLineChars="200"/>
        <w:rPr>
          <w:rFonts w:ascii="宋体" w:hAnsi="宋体" w:cs="宋体"/>
          <w:sz w:val="24"/>
          <w:szCs w:val="24"/>
        </w:rPr>
      </w:pPr>
      <w:r>
        <w:rPr>
          <w:rFonts w:hint="eastAsia" w:ascii="宋体" w:hAnsi="宋体" w:cs="宋体"/>
          <w:sz w:val="24"/>
          <w:szCs w:val="24"/>
        </w:rPr>
        <w:t>2.11 按照甲方要求的时间内优质完成招标工作，并负责按约定足额退还未中标人/成交人的投标保证金或投标保函。</w:t>
      </w:r>
    </w:p>
    <w:p>
      <w:pPr>
        <w:spacing w:line="360" w:lineRule="auto"/>
        <w:ind w:firstLine="480" w:firstLineChars="200"/>
        <w:rPr>
          <w:rFonts w:ascii="宋体" w:hAnsi="宋体" w:cs="宋体"/>
          <w:sz w:val="24"/>
          <w:szCs w:val="24"/>
        </w:rPr>
      </w:pPr>
      <w:r>
        <w:rPr>
          <w:rFonts w:hint="eastAsia" w:ascii="宋体" w:hAnsi="宋体" w:cs="宋体"/>
          <w:sz w:val="24"/>
          <w:szCs w:val="24"/>
        </w:rPr>
        <w:t>2.12 负责保存招标过程中的所有文件，并在招标工作结束后5个工作日内向甲方移交有关文件。</w:t>
      </w:r>
    </w:p>
    <w:p>
      <w:pPr>
        <w:spacing w:line="360" w:lineRule="auto"/>
        <w:ind w:firstLine="480" w:firstLineChars="200"/>
        <w:rPr>
          <w:rFonts w:ascii="宋体" w:hAnsi="宋体" w:cs="宋体"/>
          <w:sz w:val="24"/>
          <w:szCs w:val="24"/>
        </w:rPr>
      </w:pPr>
      <w:r>
        <w:rPr>
          <w:rFonts w:hint="eastAsia" w:ascii="宋体" w:hAnsi="宋体" w:cs="宋体"/>
          <w:sz w:val="24"/>
          <w:szCs w:val="24"/>
        </w:rPr>
        <w:t>2.13 办理其他应由乙方负责的事宜。</w:t>
      </w:r>
    </w:p>
    <w:p>
      <w:pPr>
        <w:spacing w:line="360" w:lineRule="auto"/>
        <w:ind w:firstLine="480" w:firstLineChars="200"/>
        <w:rPr>
          <w:rFonts w:ascii="宋体" w:hAnsi="宋体" w:cs="宋体"/>
          <w:sz w:val="24"/>
          <w:szCs w:val="24"/>
        </w:rPr>
      </w:pPr>
      <w:r>
        <w:rPr>
          <w:rFonts w:hint="eastAsia" w:ascii="宋体" w:hAnsi="宋体" w:cs="宋体"/>
          <w:sz w:val="24"/>
          <w:szCs w:val="24"/>
        </w:rPr>
        <w:t>2.14 对在代理过程中涉及到委托人的商业秘密负有保密义务。乙方保密义务不因本协议的无效、撤销、终止或解除而失效。</w:t>
      </w:r>
    </w:p>
    <w:p>
      <w:pPr>
        <w:spacing w:line="360" w:lineRule="auto"/>
        <w:ind w:firstLine="480" w:firstLineChars="200"/>
        <w:rPr>
          <w:rFonts w:ascii="宋体" w:hAnsi="宋体" w:cs="宋体"/>
          <w:sz w:val="24"/>
          <w:szCs w:val="24"/>
        </w:rPr>
      </w:pPr>
      <w:r>
        <w:rPr>
          <w:rFonts w:hint="eastAsia" w:ascii="宋体" w:hAnsi="宋体" w:cs="宋体"/>
          <w:sz w:val="24"/>
          <w:szCs w:val="24"/>
        </w:rPr>
        <w:t>第四条、招标代理服务收费</w:t>
      </w:r>
    </w:p>
    <w:p>
      <w:pPr>
        <w:spacing w:line="360" w:lineRule="auto"/>
        <w:ind w:firstLine="480" w:firstLineChars="200"/>
        <w:rPr>
          <w:rFonts w:ascii="宋体" w:hAnsi="宋体" w:cs="宋体"/>
          <w:sz w:val="24"/>
          <w:szCs w:val="24"/>
        </w:rPr>
      </w:pPr>
      <w:r>
        <w:rPr>
          <w:rFonts w:hint="eastAsia" w:ascii="宋体" w:hAnsi="宋体" w:cs="宋体"/>
          <w:sz w:val="24"/>
          <w:szCs w:val="24"/>
        </w:rPr>
        <w:t>为完成本协议第三条的工作，甲方同意乙方按如下方式收取招标代理服务费：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原则上按照国家计划委员会计价格[2002]1980号《招标代理服务收费管理暂行办法》及发改价格[2011]534号《国家发展改革委关于降低部分建设项目收费标准规范收费行为等有关问题的通知》文件要求，在规定费率基数下浮</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向中标人/成交人收取招标代理服务费。招标代理服务费</w:t>
      </w:r>
      <w:r>
        <w:rPr>
          <w:rFonts w:hint="eastAsia" w:ascii="宋体" w:hAnsi="宋体" w:cs="宋体"/>
          <w:color w:val="auto"/>
          <w:sz w:val="24"/>
          <w:szCs w:val="24"/>
          <w:highlight w:val="none"/>
          <w:lang w:val="en-US" w:eastAsia="zh-CN"/>
        </w:rPr>
        <w:t>兜底价</w:t>
      </w:r>
      <w:r>
        <w:rPr>
          <w:rFonts w:hint="eastAsia" w:ascii="宋体" w:hAnsi="宋体" w:cs="宋体"/>
          <w:color w:val="auto"/>
          <w:sz w:val="24"/>
          <w:szCs w:val="24"/>
          <w:highlight w:val="none"/>
        </w:rPr>
        <w:t>不得超过</w:t>
      </w:r>
      <w:r>
        <w:rPr>
          <w:rFonts w:hint="eastAsia" w:ascii="宋体" w:hAnsi="宋体" w:cs="宋体"/>
          <w:color w:val="auto"/>
          <w:sz w:val="24"/>
          <w:szCs w:val="24"/>
          <w:highlight w:val="none"/>
          <w:lang w:val="en-US" w:eastAsia="zh-CN"/>
        </w:rPr>
        <w:t>5000</w:t>
      </w:r>
      <w:r>
        <w:rPr>
          <w:rFonts w:hint="eastAsia" w:ascii="宋体" w:hAnsi="宋体" w:cs="宋体"/>
          <w:color w:val="auto"/>
          <w:sz w:val="24"/>
          <w:szCs w:val="24"/>
          <w:highlight w:val="none"/>
        </w:rPr>
        <w:t>元。</w:t>
      </w:r>
    </w:p>
    <w:p>
      <w:pPr>
        <w:spacing w:line="360" w:lineRule="auto"/>
        <w:ind w:firstLine="480" w:firstLineChars="200"/>
        <w:rPr>
          <w:rFonts w:ascii="宋体" w:hAnsi="宋体" w:cs="宋体"/>
          <w:sz w:val="24"/>
          <w:szCs w:val="24"/>
        </w:rPr>
      </w:pPr>
      <w:r>
        <w:rPr>
          <w:rFonts w:hint="eastAsia" w:ascii="宋体" w:hAnsi="宋体" w:cs="宋体"/>
          <w:sz w:val="24"/>
          <w:szCs w:val="24"/>
        </w:rPr>
        <w:t>2.中标人/成交人应以支票、汇票或汇款方式向乙方缴纳服务费。</w:t>
      </w:r>
    </w:p>
    <w:p>
      <w:pPr>
        <w:spacing w:line="360" w:lineRule="auto"/>
        <w:ind w:firstLine="480" w:firstLineChars="200"/>
        <w:rPr>
          <w:rFonts w:ascii="宋体" w:hAnsi="宋体" w:cs="宋体"/>
          <w:sz w:val="24"/>
          <w:szCs w:val="24"/>
        </w:rPr>
      </w:pPr>
      <w:r>
        <w:rPr>
          <w:rFonts w:hint="eastAsia" w:ascii="宋体" w:hAnsi="宋体" w:cs="宋体"/>
          <w:sz w:val="24"/>
          <w:szCs w:val="24"/>
        </w:rPr>
        <w:t>3.甲方有权对中标人/成交人按期向乙方缴费实施监督。</w:t>
      </w:r>
    </w:p>
    <w:p>
      <w:pPr>
        <w:spacing w:line="360" w:lineRule="auto"/>
        <w:ind w:firstLine="480" w:firstLineChars="200"/>
        <w:rPr>
          <w:rFonts w:ascii="宋体" w:hAnsi="宋体" w:cs="宋体"/>
          <w:sz w:val="24"/>
          <w:szCs w:val="24"/>
        </w:rPr>
      </w:pPr>
      <w:r>
        <w:rPr>
          <w:rFonts w:hint="eastAsia" w:ascii="宋体" w:hAnsi="宋体" w:cs="宋体"/>
          <w:sz w:val="24"/>
          <w:szCs w:val="24"/>
        </w:rPr>
        <w:t>第五条、知识产权</w:t>
      </w:r>
    </w:p>
    <w:p>
      <w:pPr>
        <w:spacing w:line="360" w:lineRule="auto"/>
        <w:ind w:firstLine="480" w:firstLineChars="200"/>
        <w:rPr>
          <w:rFonts w:ascii="宋体" w:hAnsi="宋体" w:cs="宋体"/>
          <w:sz w:val="24"/>
          <w:szCs w:val="24"/>
        </w:rPr>
      </w:pPr>
      <w:r>
        <w:rPr>
          <w:rFonts w:hint="eastAsia" w:ascii="宋体" w:hAnsi="宋体" w:cs="宋体"/>
          <w:sz w:val="24"/>
          <w:szCs w:val="24"/>
        </w:rPr>
        <w:t>1.除为履行本协议之目的所必需，乙方无权使用甲方的任何知识产权、或有关甲方的任何和全部业务的其他知识产权。乙方承认并同意，甲方向乙方提供的全部资料的所有权、知识产权归甲方所有。</w:t>
      </w:r>
    </w:p>
    <w:p>
      <w:pPr>
        <w:spacing w:line="360" w:lineRule="auto"/>
        <w:ind w:firstLine="480" w:firstLineChars="200"/>
        <w:rPr>
          <w:rFonts w:ascii="宋体" w:hAnsi="宋体" w:cs="宋体"/>
          <w:sz w:val="24"/>
          <w:szCs w:val="24"/>
        </w:rPr>
      </w:pPr>
      <w:r>
        <w:rPr>
          <w:rFonts w:hint="eastAsia" w:ascii="宋体" w:hAnsi="宋体" w:cs="宋体"/>
          <w:sz w:val="24"/>
          <w:szCs w:val="24"/>
        </w:rPr>
        <w:t>2.乙方保证向甲方提供任何服务、工作成果的全部或部分以及在服务过程中的行为，均不侵犯任何第三方的专利权、商标权、著作权或其他知识产权及任何人身权、财产权。否则，乙方须承担由此产生的全部责任，并赔偿甲方因此受到的全部损失。若甲方因此而承担侵权赔偿责任的，甲方有权向乙方全额追偿。</w:t>
      </w:r>
    </w:p>
    <w:p>
      <w:pPr>
        <w:spacing w:line="360" w:lineRule="auto"/>
        <w:ind w:firstLine="480" w:firstLineChars="200"/>
        <w:rPr>
          <w:rFonts w:ascii="宋体" w:hAnsi="宋体" w:cs="宋体"/>
          <w:sz w:val="24"/>
          <w:szCs w:val="24"/>
        </w:rPr>
      </w:pPr>
      <w:r>
        <w:rPr>
          <w:rFonts w:hint="eastAsia" w:ascii="宋体" w:hAnsi="宋体" w:cs="宋体"/>
          <w:sz w:val="24"/>
          <w:szCs w:val="24"/>
        </w:rPr>
        <w:t>3.履行本协议中，甲方利用乙方提供的资料和工作条件完成的新的工作成果的知识产权，属于甲方所有；乙方利用甲方提供的资料和工作条件完成的新的工作成果的知识产权，亦属于甲方所有。甲方及甲方的关联单位或个人免费享有乙方按照本协议提供的成果以及所包含知识产权的使用权。</w:t>
      </w:r>
    </w:p>
    <w:p>
      <w:pPr>
        <w:spacing w:line="360" w:lineRule="auto"/>
        <w:ind w:firstLine="480" w:firstLineChars="200"/>
        <w:rPr>
          <w:rFonts w:ascii="宋体" w:hAnsi="宋体" w:cs="宋体"/>
          <w:sz w:val="24"/>
          <w:szCs w:val="24"/>
        </w:rPr>
      </w:pPr>
      <w:r>
        <w:rPr>
          <w:rFonts w:hint="eastAsia" w:ascii="宋体" w:hAnsi="宋体" w:cs="宋体"/>
          <w:sz w:val="24"/>
          <w:szCs w:val="24"/>
        </w:rPr>
        <w:t>第六条、违约责任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1.乙方未按照合同约定，按期、保质完成本协议代理服务工作，应承担违约责任。承担违约责任的形式包括但不限于：继续履行、采取补救措施、免收合同价款、支付违约金及赔偿损</w:t>
      </w:r>
      <w:r>
        <w:rPr>
          <w:rFonts w:hint="eastAsia" w:ascii="宋体" w:hAnsi="宋体" w:cs="宋体"/>
          <w:sz w:val="24"/>
          <w:szCs w:val="24"/>
          <w:highlight w:val="none"/>
        </w:rPr>
        <w:t>失、解除合同等。</w:t>
      </w:r>
    </w:p>
    <w:p>
      <w:pPr>
        <w:spacing w:line="360" w:lineRule="auto"/>
        <w:ind w:firstLine="480" w:firstLineChars="200"/>
        <w:rPr>
          <w:rFonts w:ascii="宋体" w:hAnsi="宋体" w:cs="宋体"/>
          <w:sz w:val="24"/>
          <w:szCs w:val="24"/>
        </w:rPr>
      </w:pPr>
      <w:r>
        <w:rPr>
          <w:rFonts w:hint="eastAsia" w:ascii="宋体" w:hAnsi="宋体" w:cs="宋体"/>
          <w:sz w:val="24"/>
          <w:szCs w:val="24"/>
        </w:rPr>
        <w:t>当发生下列情况之一时，视为乙方违约，甲方有权选择上述违约责任承担形式，要求乙方承担违约责任：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1.1在项目采购过程中，乙方出现违反法律法规等情形的；</w:t>
      </w:r>
    </w:p>
    <w:p>
      <w:pPr>
        <w:spacing w:line="360" w:lineRule="auto"/>
        <w:ind w:firstLine="480" w:firstLineChars="200"/>
        <w:rPr>
          <w:rFonts w:ascii="宋体" w:hAnsi="宋体" w:cs="宋体"/>
          <w:sz w:val="24"/>
          <w:szCs w:val="24"/>
        </w:rPr>
      </w:pPr>
      <w:r>
        <w:rPr>
          <w:rFonts w:hint="eastAsia" w:ascii="宋体" w:hAnsi="宋体" w:cs="宋体"/>
          <w:sz w:val="24"/>
          <w:szCs w:val="24"/>
        </w:rPr>
        <w:t>1.2未经甲方许可，乙方擅自变更项目经理或项目小组成员的；</w:t>
      </w:r>
    </w:p>
    <w:p>
      <w:pPr>
        <w:spacing w:line="360" w:lineRule="auto"/>
        <w:ind w:firstLine="480" w:firstLineChars="200"/>
        <w:rPr>
          <w:rFonts w:ascii="宋体" w:hAnsi="宋体" w:cs="宋体"/>
          <w:sz w:val="24"/>
          <w:szCs w:val="24"/>
        </w:rPr>
      </w:pPr>
      <w:r>
        <w:rPr>
          <w:rFonts w:hint="eastAsia" w:ascii="宋体" w:hAnsi="宋体" w:cs="宋体"/>
          <w:sz w:val="24"/>
          <w:szCs w:val="24"/>
        </w:rPr>
        <w:t>1.3本协议有效期内，乙方项目经理或项目小组成员未参与甲方任何采购项目相关工作的；</w:t>
      </w:r>
    </w:p>
    <w:p>
      <w:pPr>
        <w:spacing w:line="360" w:lineRule="auto"/>
        <w:ind w:firstLine="480" w:firstLineChars="200"/>
        <w:rPr>
          <w:rFonts w:ascii="宋体" w:hAnsi="宋体" w:cs="宋体"/>
          <w:sz w:val="24"/>
          <w:szCs w:val="24"/>
        </w:rPr>
      </w:pPr>
      <w:r>
        <w:rPr>
          <w:rFonts w:hint="eastAsia" w:ascii="宋体" w:hAnsi="宋体" w:cs="宋体"/>
          <w:sz w:val="24"/>
          <w:szCs w:val="24"/>
        </w:rPr>
        <w:t>1.4乙方未按照本协议规定的条款提供保证采购工作顺利进行/完成的条件，致使采购工作无法进行/完成的；</w:t>
      </w:r>
    </w:p>
    <w:p>
      <w:pPr>
        <w:spacing w:line="360" w:lineRule="auto"/>
        <w:ind w:firstLine="480" w:firstLineChars="200"/>
        <w:rPr>
          <w:rFonts w:ascii="宋体" w:hAnsi="宋体" w:cs="宋体"/>
          <w:sz w:val="24"/>
          <w:szCs w:val="24"/>
        </w:rPr>
      </w:pPr>
      <w:r>
        <w:rPr>
          <w:rFonts w:hint="eastAsia" w:ascii="宋体" w:hAnsi="宋体" w:cs="宋体"/>
          <w:sz w:val="24"/>
          <w:szCs w:val="24"/>
        </w:rPr>
        <w:t>1.5乙方擅自修改或发布采购文件、招标公告、澄清公告、招标公示等情形；</w:t>
      </w:r>
    </w:p>
    <w:p>
      <w:pPr>
        <w:spacing w:line="360" w:lineRule="auto"/>
        <w:ind w:firstLine="480" w:firstLineChars="200"/>
        <w:rPr>
          <w:rFonts w:ascii="宋体" w:hAnsi="宋体" w:cs="宋体"/>
          <w:sz w:val="24"/>
          <w:szCs w:val="24"/>
        </w:rPr>
      </w:pPr>
      <w:r>
        <w:rPr>
          <w:rFonts w:hint="eastAsia" w:ascii="宋体" w:hAnsi="宋体" w:cs="宋体"/>
          <w:sz w:val="24"/>
          <w:szCs w:val="24"/>
        </w:rPr>
        <w:t>1.6乙方泄露与本协议相关的任何项目的有关招标信息、资料和情况的（专家审核招标文件不在此范围内）；</w:t>
      </w:r>
    </w:p>
    <w:p>
      <w:pPr>
        <w:spacing w:line="360" w:lineRule="auto"/>
        <w:ind w:firstLine="480" w:firstLineChars="200"/>
        <w:rPr>
          <w:rFonts w:ascii="宋体" w:hAnsi="宋体" w:cs="宋体"/>
          <w:sz w:val="24"/>
          <w:szCs w:val="24"/>
        </w:rPr>
      </w:pPr>
      <w:r>
        <w:rPr>
          <w:rFonts w:hint="eastAsia" w:ascii="宋体" w:hAnsi="宋体" w:cs="宋体"/>
          <w:sz w:val="24"/>
          <w:szCs w:val="24"/>
        </w:rPr>
        <w:t>1.7乙方组织开标评审/谈判/询价等采购活动过程中，因故意或重大过失影响采购活动正常开展的；</w:t>
      </w:r>
    </w:p>
    <w:p>
      <w:pPr>
        <w:spacing w:line="360" w:lineRule="auto"/>
        <w:ind w:firstLine="480" w:firstLineChars="200"/>
        <w:rPr>
          <w:rFonts w:ascii="宋体" w:hAnsi="宋体" w:cs="宋体"/>
          <w:sz w:val="24"/>
          <w:szCs w:val="24"/>
        </w:rPr>
      </w:pPr>
      <w:r>
        <w:rPr>
          <w:rFonts w:hint="eastAsia" w:ascii="宋体" w:hAnsi="宋体" w:cs="宋体"/>
          <w:sz w:val="24"/>
          <w:szCs w:val="24"/>
        </w:rPr>
        <w:t>1.8乙方擅自干涉评标委员会正常评标、评审工作，随意发表倾向性意见的；</w:t>
      </w:r>
    </w:p>
    <w:p>
      <w:pPr>
        <w:spacing w:line="360" w:lineRule="auto"/>
        <w:ind w:firstLine="480" w:firstLineChars="200"/>
        <w:rPr>
          <w:rFonts w:ascii="宋体" w:hAnsi="宋体" w:cs="宋体"/>
          <w:sz w:val="24"/>
          <w:szCs w:val="24"/>
        </w:rPr>
      </w:pPr>
      <w:r>
        <w:rPr>
          <w:rFonts w:hint="eastAsia" w:ascii="宋体" w:hAnsi="宋体" w:cs="宋体"/>
          <w:sz w:val="24"/>
          <w:szCs w:val="24"/>
        </w:rPr>
        <w:t>1.9乙方提交的评标报告、评委打分表或谈判纪要等文件存在弄虚作假等情形的；</w:t>
      </w:r>
    </w:p>
    <w:p>
      <w:pPr>
        <w:spacing w:line="360" w:lineRule="auto"/>
        <w:ind w:firstLine="480" w:firstLineChars="200"/>
        <w:rPr>
          <w:rFonts w:ascii="宋体" w:hAnsi="宋体" w:cs="宋体"/>
          <w:sz w:val="24"/>
          <w:szCs w:val="24"/>
        </w:rPr>
      </w:pPr>
      <w:r>
        <w:rPr>
          <w:rFonts w:hint="eastAsia" w:ascii="宋体" w:hAnsi="宋体" w:cs="宋体"/>
          <w:sz w:val="24"/>
          <w:szCs w:val="24"/>
        </w:rPr>
        <w:t>1.10乙方以欺诈、贿赂、恶意歪曲事实等不正当手段承揽甲方项目，受到行政主管部门处罚的；</w:t>
      </w:r>
    </w:p>
    <w:p>
      <w:pPr>
        <w:spacing w:line="360" w:lineRule="auto"/>
        <w:ind w:firstLine="480" w:firstLineChars="200"/>
        <w:rPr>
          <w:rFonts w:ascii="宋体" w:hAnsi="宋体" w:cs="宋体"/>
          <w:sz w:val="24"/>
          <w:szCs w:val="24"/>
        </w:rPr>
      </w:pPr>
      <w:r>
        <w:rPr>
          <w:rFonts w:hint="eastAsia" w:ascii="宋体" w:hAnsi="宋体" w:cs="宋体"/>
          <w:sz w:val="24"/>
          <w:szCs w:val="24"/>
        </w:rPr>
        <w:t>1.11乙方在协议期内出现重大采购工作失误的；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1.12乙方在协议期内受到行政处罚或出现重大违法违规的情况，甲方有权立即取消其代理资格；</w:t>
      </w:r>
    </w:p>
    <w:p>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1.13</w:t>
      </w:r>
      <w:r>
        <w:rPr>
          <w:rFonts w:hint="eastAsia" w:ascii="宋体" w:hAnsi="宋体" w:cs="宋体"/>
          <w:color w:val="auto"/>
          <w:sz w:val="24"/>
          <w:szCs w:val="24"/>
          <w:highlight w:val="none"/>
          <w:lang w:val="en-US" w:eastAsia="zh-CN"/>
        </w:rPr>
        <w:t>甲方在年末根据乙方工作质量、表现、沟通、用户反馈等情况进行综合年度考核，若考核不合格，甲方有权解除合同。</w:t>
      </w:r>
    </w:p>
    <w:p>
      <w:pPr>
        <w:spacing w:line="360" w:lineRule="auto"/>
        <w:ind w:firstLine="480" w:firstLineChars="200"/>
        <w:rPr>
          <w:rFonts w:ascii="宋体" w:hAnsi="宋体" w:cs="宋体"/>
          <w:sz w:val="24"/>
          <w:szCs w:val="24"/>
        </w:rPr>
      </w:pPr>
      <w:r>
        <w:rPr>
          <w:rFonts w:hint="eastAsia" w:ascii="宋体" w:hAnsi="宋体" w:cs="宋体"/>
          <w:sz w:val="24"/>
          <w:szCs w:val="24"/>
        </w:rPr>
        <w:t>2.乙方应保证向甲方提供的任何服务以及在服务过程中，均不得侵犯任何第三方的所有权、知识产权及其它合法权益。如果因乙方未能履行本条保证义务而导致甲方遭受因第三方提起侵权索赔产生任何损失，由乙方承担由此产生的费用和后果。</w:t>
      </w:r>
    </w:p>
    <w:p>
      <w:pPr>
        <w:spacing w:line="360" w:lineRule="auto"/>
        <w:ind w:firstLine="480" w:firstLineChars="200"/>
        <w:rPr>
          <w:rFonts w:ascii="宋体" w:hAnsi="宋体" w:cs="宋体"/>
          <w:sz w:val="24"/>
          <w:szCs w:val="24"/>
        </w:rPr>
      </w:pPr>
      <w:r>
        <w:rPr>
          <w:rFonts w:hint="eastAsia" w:ascii="宋体" w:hAnsi="宋体" w:cs="宋体"/>
          <w:sz w:val="24"/>
          <w:szCs w:val="24"/>
        </w:rPr>
        <w:t>3.除本协议另有约定外，乙方违反合同约定的其他义务的，给甲方造成损失的，乙方应当全部赔偿。如经甲方催告后7日内拒不改正或改正后仍不符合本协议约定的，则甲方有权解除本协议。</w:t>
      </w:r>
    </w:p>
    <w:p>
      <w:pPr>
        <w:spacing w:line="360" w:lineRule="auto"/>
        <w:ind w:firstLine="480" w:firstLineChars="200"/>
        <w:rPr>
          <w:rFonts w:ascii="宋体" w:hAnsi="宋体" w:cs="宋体"/>
          <w:sz w:val="24"/>
          <w:szCs w:val="24"/>
        </w:rPr>
      </w:pPr>
      <w:r>
        <w:rPr>
          <w:rFonts w:hint="eastAsia" w:ascii="宋体" w:hAnsi="宋体" w:cs="宋体"/>
          <w:sz w:val="24"/>
          <w:szCs w:val="24"/>
        </w:rPr>
        <w:t>4.本协议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本协议下因乙方责任需要赔偿甲方的损失，累计赔偿总金额最高不超过项目代理费用金额。</w:t>
      </w:r>
    </w:p>
    <w:p>
      <w:pPr>
        <w:spacing w:line="360" w:lineRule="auto"/>
        <w:ind w:firstLine="480" w:firstLineChars="200"/>
        <w:rPr>
          <w:rFonts w:ascii="宋体" w:hAnsi="宋体" w:cs="宋体"/>
          <w:sz w:val="24"/>
          <w:szCs w:val="24"/>
        </w:rPr>
      </w:pPr>
      <w:r>
        <w:rPr>
          <w:rFonts w:hint="eastAsia" w:ascii="宋体" w:hAnsi="宋体" w:cs="宋体"/>
          <w:sz w:val="24"/>
          <w:szCs w:val="24"/>
        </w:rPr>
        <w:t>第七条、其他</w:t>
      </w:r>
    </w:p>
    <w:p>
      <w:pPr>
        <w:spacing w:line="360" w:lineRule="auto"/>
        <w:ind w:firstLine="480" w:firstLineChars="200"/>
        <w:rPr>
          <w:rFonts w:ascii="宋体" w:hAnsi="宋体" w:cs="宋体"/>
          <w:sz w:val="24"/>
          <w:szCs w:val="24"/>
        </w:rPr>
      </w:pPr>
      <w:r>
        <w:rPr>
          <w:rFonts w:hint="eastAsia" w:ascii="宋体" w:hAnsi="宋体" w:cs="宋体"/>
          <w:sz w:val="24"/>
          <w:szCs w:val="24"/>
        </w:rPr>
        <w:t>1.甲乙双方均应认真履行本代理委托协议所规定的职责。对执行本代理委托协议中所发生的问题，任何一方均应及时通知对方并及时协商解决。由于任何一方违约而造成本代理委托协议不能继续履行或其他严重后果的，违约方须承担责任并赔偿受损方的经济损失。</w:t>
      </w:r>
    </w:p>
    <w:p>
      <w:pPr>
        <w:spacing w:line="360" w:lineRule="auto"/>
        <w:ind w:firstLine="480" w:firstLineChars="200"/>
        <w:rPr>
          <w:rFonts w:ascii="宋体" w:hAnsi="宋体" w:cs="宋体"/>
          <w:sz w:val="24"/>
          <w:szCs w:val="24"/>
        </w:rPr>
      </w:pPr>
      <w:r>
        <w:rPr>
          <w:rFonts w:hint="eastAsia" w:ascii="宋体" w:hAnsi="宋体" w:cs="宋体"/>
          <w:sz w:val="24"/>
          <w:szCs w:val="24"/>
        </w:rPr>
        <w:t>2.因甲方原因导致中标人/成交人不能签署采购合同，乙方不对其承担责任。</w:t>
      </w:r>
    </w:p>
    <w:p>
      <w:pPr>
        <w:spacing w:line="360" w:lineRule="auto"/>
        <w:ind w:firstLine="480" w:firstLineChars="200"/>
        <w:rPr>
          <w:rFonts w:ascii="宋体" w:hAnsi="宋体" w:cs="宋体"/>
          <w:sz w:val="24"/>
          <w:szCs w:val="24"/>
        </w:rPr>
      </w:pPr>
      <w:r>
        <w:rPr>
          <w:rFonts w:hint="eastAsia" w:ascii="宋体" w:hAnsi="宋体" w:cs="宋体"/>
          <w:sz w:val="24"/>
          <w:szCs w:val="24"/>
        </w:rPr>
        <w:t>3.乙方应保证由其代理的采购项目的招标全过程合法性和有效性并应完成本代理协议中约定的全部乙方职责，并承担相应法律责任。在招标过程中由乙方过失导致的一切损失由乙方负责，由甲方过失导致的一切损失由甲方负责。如乙方在组织招投标工作时发生违规情况，甲方有权单方解除合同，并由乙方承担因此造成的损失。</w:t>
      </w:r>
    </w:p>
    <w:p>
      <w:pPr>
        <w:spacing w:line="360" w:lineRule="auto"/>
        <w:ind w:firstLine="480" w:firstLineChars="200"/>
        <w:rPr>
          <w:rFonts w:ascii="宋体" w:hAnsi="宋体" w:cs="宋体"/>
          <w:sz w:val="24"/>
          <w:szCs w:val="24"/>
        </w:rPr>
      </w:pPr>
      <w:r>
        <w:rPr>
          <w:rFonts w:hint="eastAsia" w:ascii="宋体" w:hAnsi="宋体" w:cs="宋体"/>
          <w:sz w:val="24"/>
          <w:szCs w:val="24"/>
        </w:rPr>
        <w:t>4.本代理委托协议自双方授权代表签字并加盖单位公章后立即生效，在本代理委托协议项下所有义务完成后失效。</w:t>
      </w:r>
    </w:p>
    <w:p>
      <w:pPr>
        <w:spacing w:line="360" w:lineRule="auto"/>
        <w:ind w:firstLine="480" w:firstLineChars="200"/>
        <w:rPr>
          <w:rFonts w:ascii="宋体" w:hAnsi="宋体" w:cs="宋体"/>
          <w:sz w:val="24"/>
          <w:szCs w:val="24"/>
        </w:rPr>
      </w:pPr>
      <w:r>
        <w:rPr>
          <w:rFonts w:hint="eastAsia" w:ascii="宋体" w:hAnsi="宋体" w:cs="宋体"/>
          <w:sz w:val="24"/>
          <w:szCs w:val="24"/>
        </w:rPr>
        <w:t>5.对本代理委托协议进行的任何修改和补充，均需经双方代表协商一致同意并签署书面补充协议，该补充协议将成为本代理委托协议不可分割的一部分。</w:t>
      </w:r>
    </w:p>
    <w:p>
      <w:pPr>
        <w:spacing w:line="360" w:lineRule="auto"/>
        <w:ind w:firstLine="480" w:firstLineChars="200"/>
        <w:rPr>
          <w:rFonts w:ascii="宋体" w:hAnsi="宋体" w:cs="宋体"/>
          <w:sz w:val="24"/>
          <w:szCs w:val="24"/>
        </w:rPr>
      </w:pPr>
      <w:r>
        <w:rPr>
          <w:rFonts w:hint="eastAsia" w:ascii="宋体" w:hAnsi="宋体" w:cs="宋体"/>
          <w:sz w:val="24"/>
          <w:szCs w:val="24"/>
        </w:rPr>
        <w:t>6.在本代理委托协议执行期内，如遇国家颁布新的法律或法令与本代理协议相矛盾时，以国家新颁布的法律或法令为准。</w:t>
      </w:r>
    </w:p>
    <w:p>
      <w:pPr>
        <w:spacing w:line="360" w:lineRule="auto"/>
        <w:ind w:firstLine="480" w:firstLineChars="200"/>
        <w:rPr>
          <w:rFonts w:ascii="宋体" w:hAnsi="宋体" w:cs="宋体"/>
          <w:sz w:val="24"/>
          <w:szCs w:val="24"/>
        </w:rPr>
      </w:pPr>
      <w:r>
        <w:rPr>
          <w:rFonts w:hint="eastAsia" w:ascii="宋体" w:hAnsi="宋体" w:cs="宋体"/>
          <w:sz w:val="24"/>
          <w:szCs w:val="24"/>
        </w:rPr>
        <w:t>7.双方同意在执行本代理委托协议过程中的任何争执都将通过友好协商解决，协商不成时，任何一方都应诉诸于甲方所在地相应级别的人民法院解决。</w:t>
      </w:r>
    </w:p>
    <w:p>
      <w:pPr>
        <w:spacing w:line="360" w:lineRule="auto"/>
        <w:ind w:firstLine="480" w:firstLineChars="200"/>
        <w:rPr>
          <w:rFonts w:ascii="宋体" w:hAnsi="宋体" w:cs="宋体"/>
          <w:sz w:val="24"/>
          <w:szCs w:val="24"/>
        </w:rPr>
      </w:pPr>
      <w:r>
        <w:rPr>
          <w:rFonts w:hint="eastAsia" w:ascii="宋体" w:hAnsi="宋体" w:cs="宋体"/>
          <w:sz w:val="24"/>
          <w:szCs w:val="24"/>
        </w:rPr>
        <w:t>8.本代理委托协议正本一式肆份，甲方、乙方各执两份，具有同等法律效力。</w:t>
      </w:r>
    </w:p>
    <w:p>
      <w:pPr>
        <w:spacing w:line="360" w:lineRule="auto"/>
        <w:ind w:firstLine="480" w:firstLineChars="200"/>
        <w:rPr>
          <w:rFonts w:ascii="宋体" w:hAnsi="宋体" w:cs="宋体"/>
          <w:sz w:val="24"/>
          <w:szCs w:val="24"/>
        </w:rPr>
      </w:pPr>
      <w:r>
        <w:rPr>
          <w:rFonts w:hint="eastAsia" w:ascii="宋体" w:hAnsi="宋体" w:cs="宋体"/>
          <w:sz w:val="24"/>
          <w:szCs w:val="24"/>
        </w:rPr>
        <w:t>（以下无正文）</w:t>
      </w:r>
    </w:p>
    <w:p>
      <w:pPr>
        <w:spacing w:line="360" w:lineRule="auto"/>
        <w:ind w:firstLine="480" w:firstLineChars="200"/>
        <w:rPr>
          <w:rFonts w:ascii="宋体" w:hAnsi="宋体" w:cs="宋体"/>
          <w:sz w:val="24"/>
          <w:szCs w:val="24"/>
        </w:rPr>
      </w:pPr>
      <w:r>
        <w:rPr>
          <w:rFonts w:hint="eastAsia" w:ascii="宋体" w:hAnsi="宋体" w:cs="宋体"/>
          <w:sz w:val="24"/>
          <w:szCs w:val="24"/>
        </w:rPr>
        <w:t>（本页为签字页）</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甲  方:                                 乙  方:</w:t>
      </w:r>
    </w:p>
    <w:p>
      <w:pPr>
        <w:spacing w:line="360" w:lineRule="auto"/>
        <w:ind w:firstLine="480" w:firstLineChars="200"/>
        <w:rPr>
          <w:rFonts w:ascii="宋体" w:hAnsi="宋体" w:cs="宋体"/>
          <w:sz w:val="24"/>
          <w:szCs w:val="24"/>
        </w:rPr>
      </w:pPr>
      <w:r>
        <w:rPr>
          <w:rFonts w:hint="eastAsia" w:ascii="宋体" w:hAnsi="宋体" w:cs="宋体"/>
          <w:sz w:val="24"/>
          <w:szCs w:val="24"/>
        </w:rPr>
        <w:t>法定代表人：                            法定代表人：</w:t>
      </w:r>
    </w:p>
    <w:p>
      <w:pPr>
        <w:spacing w:line="360" w:lineRule="auto"/>
        <w:ind w:firstLine="480" w:firstLineChars="200"/>
        <w:rPr>
          <w:rFonts w:ascii="宋体" w:hAnsi="宋体" w:cs="宋体"/>
          <w:sz w:val="24"/>
          <w:szCs w:val="24"/>
        </w:rPr>
      </w:pPr>
      <w:r>
        <w:rPr>
          <w:rFonts w:hint="eastAsia" w:ascii="宋体" w:hAnsi="宋体" w:cs="宋体"/>
          <w:sz w:val="24"/>
          <w:szCs w:val="24"/>
        </w:rPr>
        <w:t>（或其授权代表人）                     （或其授权代表人）</w:t>
      </w:r>
    </w:p>
    <w:p>
      <w:pPr>
        <w:rPr>
          <w:rFonts w:ascii="宋体" w:hAnsi="宋体" w:cs="宋体"/>
          <w:sz w:val="24"/>
          <w:szCs w:val="24"/>
        </w:rPr>
      </w:pPr>
    </w:p>
    <w:p>
      <w:pPr>
        <w:rPr>
          <w:rFonts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 xml:space="preserve">日期：年  月  日                   </w:t>
      </w:r>
    </w:p>
    <w:p/>
    <w:p>
      <w:pPr>
        <w:ind w:firstLine="240" w:firstLineChars="100"/>
        <w:rPr>
          <w:rFonts w:ascii="仿宋" w:hAnsi="仿宋" w:eastAsia="仿宋" w:cs="仿宋"/>
          <w:sz w:val="32"/>
          <w:szCs w:val="32"/>
        </w:rPr>
      </w:pPr>
      <w:r>
        <w:rPr>
          <w:rFonts w:hint="eastAsia" w:ascii="宋体" w:hAnsi="宋体" w:cs="宋体"/>
          <w:sz w:val="24"/>
          <w:szCs w:val="24"/>
        </w:rPr>
        <w:t xml:space="preserve"> </w:t>
      </w:r>
      <w:bookmarkEnd w:id="54"/>
      <w:bookmarkEnd w:id="55"/>
    </w:p>
    <w:sectPr>
      <w:footerReference r:id="rId3" w:type="default"/>
      <w:footerReference r:id="rId4" w:type="even"/>
      <w:pgSz w:w="11906" w:h="16838"/>
      <w:pgMar w:top="2098" w:right="1474" w:bottom="1985"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Arial"/>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2"/>
      </w:rPr>
      <w:instrText xml:space="preserve"> PAGE </w:instrText>
    </w:r>
    <w:r>
      <w:fldChar w:fldCharType="separate"/>
    </w:r>
    <w:r>
      <w:rPr>
        <w:rStyle w:val="12"/>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F7680"/>
    <w:multiLevelType w:val="singleLevel"/>
    <w:tmpl w:val="044F76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C4D37"/>
    <w:rsid w:val="007E7052"/>
    <w:rsid w:val="01A275EA"/>
    <w:rsid w:val="01AE088C"/>
    <w:rsid w:val="01CC61EB"/>
    <w:rsid w:val="01E80D90"/>
    <w:rsid w:val="0B953275"/>
    <w:rsid w:val="0BCC59C3"/>
    <w:rsid w:val="0E531A25"/>
    <w:rsid w:val="16E97E95"/>
    <w:rsid w:val="185B3EAD"/>
    <w:rsid w:val="19AC1432"/>
    <w:rsid w:val="19EE150C"/>
    <w:rsid w:val="1D324553"/>
    <w:rsid w:val="2A0D4A80"/>
    <w:rsid w:val="2FE3674D"/>
    <w:rsid w:val="390A47AE"/>
    <w:rsid w:val="3F2B08FD"/>
    <w:rsid w:val="40186634"/>
    <w:rsid w:val="40D12D24"/>
    <w:rsid w:val="44054E39"/>
    <w:rsid w:val="48823BAE"/>
    <w:rsid w:val="4D572AA8"/>
    <w:rsid w:val="4E8664D8"/>
    <w:rsid w:val="4F6E4CF2"/>
    <w:rsid w:val="518A5AAE"/>
    <w:rsid w:val="546B4895"/>
    <w:rsid w:val="55806E3B"/>
    <w:rsid w:val="596765E0"/>
    <w:rsid w:val="5A1E3CB4"/>
    <w:rsid w:val="5D821D17"/>
    <w:rsid w:val="5F7C4D37"/>
    <w:rsid w:val="77D66815"/>
    <w:rsid w:val="790E70AD"/>
    <w:rsid w:val="7A83129C"/>
    <w:rsid w:val="7D023F0F"/>
    <w:rsid w:val="7D17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3">
    <w:name w:val="heading 3"/>
    <w:basedOn w:val="1"/>
    <w:next w:val="1"/>
    <w:qFormat/>
    <w:uiPriority w:val="0"/>
    <w:pPr>
      <w:keepNext/>
      <w:keepLines/>
      <w:spacing w:before="260" w:after="260" w:line="415" w:lineRule="auto"/>
      <w:outlineLvl w:val="2"/>
    </w:pPr>
    <w:rPr>
      <w:b/>
      <w:sz w:val="32"/>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360" w:lineRule="auto"/>
      <w:ind w:firstLine="230" w:firstLineChars="230"/>
    </w:pPr>
    <w:rPr>
      <w:rFonts w:ascii="Arial" w:hAnsi="Arial"/>
      <w:sz w:val="24"/>
    </w:rPr>
  </w:style>
  <w:style w:type="paragraph" w:styleId="6">
    <w:name w:val="Block Text"/>
    <w:basedOn w:val="1"/>
    <w:qFormat/>
    <w:uiPriority w:val="0"/>
    <w:pPr>
      <w:ind w:left="150" w:leftChars="150" w:right="26" w:firstLine="200" w:firstLineChars="200"/>
    </w:pPr>
    <w:rPr>
      <w:rFonts w:ascii="Arial" w:hAnsi="Arial"/>
      <w:sz w:val="24"/>
    </w:rPr>
  </w:style>
  <w:style w:type="paragraph" w:styleId="7">
    <w:name w:val="Plain Text"/>
    <w:basedOn w:val="1"/>
    <w:qFormat/>
    <w:uiPriority w:val="0"/>
    <w:rPr>
      <w:rFonts w:ascii="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2"/>
    <w:basedOn w:val="1"/>
    <w:qFormat/>
    <w:uiPriority w:val="0"/>
    <w:pPr>
      <w:spacing w:line="360" w:lineRule="auto"/>
      <w:ind w:right="26"/>
    </w:pPr>
    <w:rPr>
      <w:rFonts w:ascii="宋体"/>
    </w:rPr>
  </w:style>
  <w:style w:type="character" w:styleId="12">
    <w:name w:val="page number"/>
    <w:qFormat/>
    <w:uiPriority w:val="0"/>
  </w:style>
  <w:style w:type="paragraph" w:customStyle="1" w:styleId="13">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2026-04-15T02:33:00Z</dcterms:created>
  <dc:creator>赵丽</dc:creator>
  <cp:lastModifiedBy>赵丽</cp:lastModifiedBy>
  <dcterms:modified xsi:type="dcterms:W3CDTF">2026-04-16T03:10:52Z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E67D3DD7772C4819967099B786419F9C</vt:lpwstr>
  </property>
</Properties>
</file>